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360" w:lineRule="auto"/>
        <w:jc w:val="center"/>
        <w:rPr>
          <w:rFonts w:ascii="黑体" w:hAnsi="黑体" w:eastAsia="黑体" w:cs="宋体"/>
          <w:b/>
          <w:bCs/>
          <w:sz w:val="32"/>
          <w:szCs w:val="32"/>
        </w:rPr>
      </w:pPr>
      <w:r>
        <w:rPr>
          <w:rFonts w:ascii="黑体" w:hAnsi="黑体" w:eastAsia="黑体" w:cs="宋体"/>
          <w:b/>
          <w:bCs/>
          <w:sz w:val="32"/>
          <w:szCs w:val="32"/>
        </w:rPr>
        <mc:AlternateContent>
          <mc:Choice Requires="wps">
            <w:drawing>
              <wp:anchor distT="0" distB="0" distL="114300" distR="114300" simplePos="0" relativeHeight="251660288" behindDoc="0" locked="1" layoutInCell="1" hidden="1" allowOverlap="1">
                <wp:simplePos x="0" y="0"/>
                <wp:positionH relativeFrom="column">
                  <wp:posOffset>0</wp:posOffset>
                </wp:positionH>
                <wp:positionV relativeFrom="paragraph">
                  <wp:posOffset>-1737360</wp:posOffset>
                </wp:positionV>
                <wp:extent cx="635" cy="635"/>
                <wp:effectExtent l="9525" t="5715" r="8890" b="12700"/>
                <wp:wrapNone/>
                <wp:docPr id="1" name="AutoShape 9" descr="27G0EB92GBDE58B391918@5B1C177G7G099D8&lt;85J:8MU71112975!!BIHO@]m71112975!@58@3GB110D819275@5110D819275@5!!!!!!!!!!!!!!!!!!!!!!!!!!!!!!!!!!!!!!!!!!!!!!!!!!!!85L@=85L@VY11052075!!!BIHO@]y11052075!@610@2@113086122G94113086122G94!!!!!!!!!!!!!!!!!!!!!!!!!!!!!!!!!!!!!!!!!!!!!!!!!!!!895&gt;S895AFM70054!!!!!!BIHO@]m70054!!!1@7G898@1107DBB7E107将雷凋笑及笑捡3118/enb!!!!!!!!!!!!!!!!!!!!!!!!!!!!!!!!!!!!!!!!!!!!!!!!!!!!!!!!!!!!!!!!!!!!!!!!!!!!!!!!!!!!!!!!!!!!!!!!!!!!!!!!!!!!!!!!!!!!!!!!!!!!!!!!!!!!!!!!!!!!!!!!!!!!!!!!!!!!!!!!!!!!!!!!!!!!!!!!!!!!!!!!!!!!!!!!!!!!!!!!!!!!!!!!!!!!!!!!!!!!!!!!!!!!!!!!!!!!!!!!!!!!!!!!!!!!!!!!!!!!!!!!!!!!!!!!!!!!!!!!!!!!!!!!!!!!!!!!!!!!!!!!!!!!!!!!!!!!!!!!!!!!!!!!!!!!!!!!!!!!!!!!!!!!!!!!!!!!!!!!!!!!!!!!!!!!!!!!!!!!!!!!!!!!!!!!!!!!!!!!!!!!!!!!!!!!!!!!!!!!!!!!!!!!!!!!!!!!!!!!!!!!!!!!!!!!!!!!!!!!!!!!!!!!!!!!!!!!!!!!!!!!!!!!!!!!!!!!!!!!!!!!!!!!!!!!!!!!!!!!!!!!!!!!!!!!!!!!!!!!!!!!!!!!!!!!!!!!!!!!!!!!!!!!!!!!!!!!!!!!!!!!!!!!!!!!!!!!!!!!!!!!!!!!!!!!!!!!!!!!!!!!!!!!!!!!!!!!!!!!!!!!!!!!!!!!!!!!!!!!!!!!!!!!!!!!!!!!!!!!!!!!!!!!!!!!!!!!!!!!!!!!!!!!!!!!!!!!!!!!!!!!!!!!!!!!!!!!!!!!!!!!!!!!!!!!!!!!!!!!!!!!!!!!!!!!!!!!!!!!!!!!!!!!!!!!!!!!!!!!!!!!!!!!!!!!!!!!!!!!!!!!!!!!!!!!!!!!!!!!!!!!!!!!!!!!!!!!!!!!!!!!!!!!!!!!!!!!!!!!!!!!!!!!!!!!!!!!!!!!!!!!!!!!!!!!!!!!!!!!!!!!!!!!!!!!!!!!!!!!!!!!!!!!!!!!!!!!!!!!!!!!!!!!!!!!!!!!!!!!!!!!!!!!!!!!!!!!!!!!!!!!!!!!!!!!!!!!!!!!!!!!!!!!!!!!!!!!!!!!!!!!!!!!!!!!!!!!!!!!!!!!!!!!!!!!!!!!!!!!!!!!!!!!!!!!!!!!!!!!!!!!!!!!!!!!!!!!!!!!!!!!!!!!!!!!!!!!!!!!!!!!!!!!!!!!!!!!!!!!!!!!!!!!!!!!!!!!!!!!!!!!!!!!!!!!!!!!!!!!!!!!!!!!!!!!!!!!!!!!!!!!!!!!!!!!!!!!!!!!!!!!!!!!!!!!!!!!!!!!!!!!!!!!!!!!!!!!!!!!!!!!!!!!!!!!!!!!!!!!!!!!!!!!!!!!!!!!!!!!!!!!!!!!!!!!!!!!!!!!!!!!!!!!!!!!!!!!!!!!!!!!!!!!!!!!!!!!!!!!!!!!!!!!!!!!!!!!!!!!!!!!!!!!!!!!!!!!!!!!!!!!!!!!!!!!!!!!!!!!!!!!!!!!!!!!!!!!!!!!!!!!!!!!!!!!!!!!!!!!!!!!!!!!!!!!!!!!!!!!!!!!!!!!!!!!!!!!!!!!!!!!!!!!!!!!!!!!!!!!!!!!!!!!!!!!!!!!!!!!!!!!!!!!!!!!!!!!!!!!!!!!!!!!!!!!!!!!!!!!!!!!!!!!!!!!!!!!!!!!!!!!!!!!!!!!!!!!!!!!!!!!!!!!!!!!!!!!!!!!!!!!!!!!!!!!!!!!!!!!!!!!!!!!!!!!!!!!!!!!!!!!!!!!!!!!!!!!!!!!!!!!!!!!!!!!!!!!!!!!!!!!!!!!!!!!!!!!!!!!!!!!!!!!!!!!!!!!!!!!!!!!!!!!!!!!!!!!!!!!!!!!!!!!!!!!!!!!!!!!!!!!!!!!!!!!!!!!!!!!!!!!!!!!!!!!!!!!!!!!!!!!!!!!!!!!!!!!!!!!!!!!!!!!!!!!!!!!!!!!!!!!!!!!!!!!!!!!!!!!!!!!!!!!!!!!!!!!!!!!!!!!!!!!!!!!!!!!!!!!!!!!!!!!!!!!!!!!!!!!!!!!!!!!!!!!!!!!!!!!!!!!!!!!!!!!!!!!!!!!!!!!!!!!!!!!!!!!!!!!!!!!!!!!!!!!!!!!!!!!!!!!!!!!!!!!!!!!!!!!!!!!!!!!!!!!!!!!!!!1!E" hidden="1"/>
                <wp:cNvGraphicFramePr/>
                <a:graphic xmlns:a="http://schemas.openxmlformats.org/drawingml/2006/main">
                  <a:graphicData uri="http://schemas.microsoft.com/office/word/2010/wordprocessingShape">
                    <wps:wsp>
                      <wps:cNvSpPr/>
                      <wps:spPr bwMode="auto">
                        <a:xfrm>
                          <a:off x="0" y="0"/>
                          <a:ext cx="635" cy="635"/>
                        </a:xfrm>
                        <a:custGeom>
                          <a:avLst/>
                          <a:gdLst>
                            <a:gd name="T0" fmla="*/ 9 w 21600"/>
                            <a:gd name="T1" fmla="*/ 2 h 21600"/>
                            <a:gd name="T2" fmla="*/ 3 w 21600"/>
                            <a:gd name="T3" fmla="*/ 9 h 21600"/>
                            <a:gd name="T4" fmla="*/ 9 w 21600"/>
                            <a:gd name="T5" fmla="*/ 19 h 21600"/>
                            <a:gd name="T6" fmla="*/ 16 w 21600"/>
                            <a:gd name="T7" fmla="*/ 9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id="AutoShape 9" o:spid="_x0000_s1026" o:spt="100" alt="27G0EB92GBDE58B391918@5B1C177G7G099D8&lt;85J:8MU71112975!!BIHO@]m71112975!@58@3GB110D819275@5110D819275@5!!!!!!!!!!!!!!!!!!!!!!!!!!!!!!!!!!!!!!!!!!!!!!!!!!!!85L@=85L@VY11052075!!!BIHO@]y11052075!@610@2@113086122G94113086122G94!!!!!!!!!!!!!!!!!!!!!!!!!!!!!!!!!!!!!!!!!!!!!!!!!!!!895&gt;S895AFM70054!!!!!!BIHO@]m70054!!!1@7G898@1107DBB7E107将雷凋笑及笑捡3118/enb!!!!!!!!!!!!!!!!!!!!!!!!!!!!!!!!!!!!!!!!!!!!!!!!!!!!!!!!!!!!!!!!!!!!!!!!!!!!!!!!!!!!!!!!!!!!!!!!!!!!!!!!!!!!!!!!!!!!!!!!!!!!!!!!!!!!!!!!!!!!!!!!!!!!!!!!!!!!!!!!!!!!!!!!!!!!!!!!!!!!!!!!!!!!!!!!!!!!!!!!!!!!!!!!!!!!!!!!!!!!!!!!!!!!!!!!!!!!!!!!!!!!!!!!!!!!!!!!!!!!!!!!!!!!!!!!!!!!!!!!!!!!!!!!!!!!!!!!!!!!!!!!!!!!!!!!!!!!!!!!!!!!!!!!!!!!!!!!!!!!!!!!!!!!!!!!!!!!!!!!!!!!!!!!!!!!!!!!!!!!!!!!!!!!!!!!!!!!!!!!!!!!!!!!!!!!!!!!!!!!!!!!!!!!!!!!!!!!!!!!!!!!!!!!!!!!!!!!!!!!!!!!!!!!!!!!!!!!!!!!!!!!!!!!!!!!!!!!!!!!!!!!!!!!!!!!!!!!!!!!!!!!!!!!!!!!!!!!!!!!!!!!!!!!!!!!!!!!!!!!!!!!!!!!!!!!!!!!!!!!!!!!!!!!!!!!!!!!!!!!!!!!!!!!!!!!!!!!!!!!!!!!!!!!!!!!!!!!!!!!!!!!!!!!!!!!!!!!!!!!!!!!!!!!!!!!!!!!!!!!!!!!!!!!!!!!!!!!!!!!!!!!!!!!!!!!!!!!!!!!!!!!!!!!!!!!!!!!!!!!!!!!!!!!!!!!!!!!!!!!!!!!!!!!!!!!!!!!!!!!!!!!!!!!!!!!!!!!!!!!!!!!!!!!!!!!!!!!!!!!!!!!!!!!!!!!!!!!!!!!!!!!!!!!!!!!!!!!!!!!!!!!!!!!!!!!!!!!!!!!!!!!!!!!!!!!!!!!!!!!!!!!!!!!!!!!!!!!!!!!!!!!!!!!!!!!!!!!!!!!!!!!!!!!!!!!!!!!!!!!!!!!!!!!!!!!!!!!!!!!!!!!!!!!!!!!!!!!!!!!!!!!!!!!!!!!!!!!!!!!!!!!!!!!!!!!!!!!!!!!!!!!!!!!!!!!!!!!!!!!!!!!!!!!!!!!!!!!!!!!!!!!!!!!!!!!!!!!!!!!!!!!!!!!!!!!!!!!!!!!!!!!!!!!!!!!!!!!!!!!!!!!!!!!!!!!!!!!!!!!!!!!!!!!!!!!!!!!!!!!!!!!!!!!!!!!!!!!!!!!!!!!!!!!!!!!!!!!!!!!!!!!!!!!!!!!!!!!!!!!!!!!!!!!!!!!!!!!!!!!!!!!!!!!!!!!!!!!!!!!!!!!!!!!!!!!!!!!!!!!!!!!!!!!!!!!!!!!!!!!!!!!!!!!!!!!!!!!!!!!!!!!!!!!!!!!!!!!!!!!!!!!!!!!!!!!!!!!!!!!!!!!!!!!!!!!!!!!!!!!!!!!!!!!!!!!!!!!!!!!!!!!!!!!!!!!!!!!!!!!!!!!!!!!!!!!!!!!!!!!!!!!!!!!!!!!!!!!!!!!!!!!!!!!!!!!!!!!!!!!!!!!!!!!!!!!!!!!!!!!!!!!!!!!!!!!!!!!!!!!!!!!!!!!!!!!!!!!!!!!!!!!!!!!!!!!!!!!!!!!!!!!!!!!!!!!!!!!!!!!!!!!!!!!!!!!!!!!!!!!!!!!!!!!!!!!!!!!!!!!!!!!!!!!!!!!!!!!!!!!!!!!!!!!!!!!!!!!!!!!!!!!!!!!!!!!!!!!!!!!!!!!!!!!!!!!!!!!!!!!!!!!!!!!!!!!!!!!!!!!!!!!!!!!!!!!!!!!!!!!!!!!!!!!!!!!!!!!!!!!!!!!!!!!!!!!!!!!!!!!!!!!!!!!!!!!!!!!!!!!!!!!!!!!!!!!!!!!!!!!!!!!!!!!!!!!!!!!!!!!!!!!!!!!!!!!!!!!!!!!!!!!!!!!!!!!!!!!!!!!!!!!!!!!!!!!!!!!!!!!!!!!!!!!!!!!!!!!!!!!!!!!!!!!!!!!!!!!!!!!!!!!!!!!!!!!!!!!!!!!!!!!!!!!!!!!!!!!!!!!!!!!!!!!!!!!!!!!!!!!!!!!!!!!!!!!!!!!!!!!!!!!!!!!!!!!!!!!!!!!!!!!!!!!!!!!!!!!!!!!!!!!!!!!!!!!!!!!!!!1!E" style="position:absolute;left:0pt;margin-left:0pt;margin-top:-136.8pt;height:0.05pt;width:0.05pt;visibility:hidden;z-index:251660288;mso-width-relative:page;mso-height-relative:page;" fillcolor="#FFFFFF" filled="t" stroked="t" coordsize="21600,21600" o:gfxdata="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" path="m10860,2187c10451,1746,9529,1018,9015,730c7865,152,6685,0,5415,0c4175,152,2995,575,1967,1305c1150,2187,575,3222,242,4220c0,5410,242,6560,575,7597l10860,21600,20995,7597c21480,6560,21600,5410,21480,4220c21115,3222,20420,2187,19632,1305c18575,575,17425,152,16275,0c15005,0,13735,152,12705,730c12176,1018,11254,1746,10860,2187xe">
                <v:path o:connectlocs="0,0;0,0;0,0;0,0" o:connectangles="247,164,82,0"/>
                <v:fill on="t" focussize="0,0"/>
                <v:stroke color="#000000" miterlimit="8" joinstyle="miter"/>
                <v:imagedata o:title=""/>
                <o:lock v:ext="edit" aspectratio="f"/>
                <w10:anchorlock/>
              </v:shape>
            </w:pict>
          </mc:Fallback>
        </mc:AlternateContent>
      </w:r>
      <w:r>
        <w:rPr>
          <w:rFonts w:hint="eastAsia" w:ascii="黑体" w:hAnsi="黑体" w:eastAsia="黑体" w:cs="宋体"/>
          <w:b/>
          <w:bCs/>
          <w:sz w:val="32"/>
          <w:szCs w:val="32"/>
        </w:rPr>
        <w:t>X</w:t>
      </w:r>
      <w:r>
        <w:rPr>
          <w:rFonts w:ascii="黑体" w:hAnsi="黑体" w:eastAsia="黑体" w:cs="宋体"/>
          <w:b/>
          <w:bCs/>
          <w:sz w:val="32"/>
          <w:szCs w:val="32"/>
        </w:rPr>
        <w:t>XX</w:t>
      </w:r>
      <w:r>
        <w:rPr>
          <w:rFonts w:hint="eastAsia" w:ascii="黑体" w:hAnsi="黑体" w:eastAsia="黑体" w:cs="宋体"/>
          <w:b/>
          <w:bCs/>
          <w:sz w:val="32"/>
          <w:szCs w:val="32"/>
        </w:rPr>
        <w:t>捐赠东南大学</w:t>
      </w:r>
    </w:p>
    <w:p>
      <w:pPr>
        <w:pStyle w:val="13"/>
        <w:spacing w:line="360" w:lineRule="auto"/>
        <w:jc w:val="center"/>
        <w:rPr>
          <w:rFonts w:ascii="黑体" w:hAnsi="黑体" w:eastAsia="黑体" w:cs="宋体"/>
          <w:b/>
          <w:bCs/>
          <w:sz w:val="32"/>
          <w:szCs w:val="32"/>
        </w:rPr>
      </w:pPr>
      <w:r>
        <w:rPr>
          <w:rFonts w:hint="eastAsia" w:ascii="黑体" w:hAnsi="黑体" w:eastAsia="黑体" w:cs="宋体"/>
          <w:b/>
          <w:bCs/>
          <w:sz w:val="32"/>
          <w:szCs w:val="32"/>
        </w:rPr>
        <w:t>设立“X</w:t>
      </w:r>
      <w:r>
        <w:rPr>
          <w:rFonts w:ascii="黑体" w:hAnsi="黑体" w:eastAsia="黑体" w:cs="宋体"/>
          <w:b/>
          <w:bCs/>
          <w:sz w:val="32"/>
          <w:szCs w:val="32"/>
        </w:rPr>
        <w:t>XX</w:t>
      </w:r>
      <w:r>
        <w:rPr>
          <w:rFonts w:hint="eastAsia" w:ascii="黑体" w:hAnsi="黑体" w:eastAsia="黑体" w:cs="宋体"/>
          <w:b/>
          <w:bCs/>
          <w:sz w:val="32"/>
          <w:szCs w:val="32"/>
        </w:rPr>
        <w:t>”协议书</w:t>
      </w:r>
    </w:p>
    <w:p>
      <w:pPr>
        <w:adjustRightInd w:val="0"/>
        <w:snapToGrid w:val="0"/>
        <w:spacing w:line="520" w:lineRule="exact"/>
        <w:jc w:val="center"/>
        <w:rPr>
          <w:rFonts w:ascii="宋体" w:hAnsi="宋体" w:eastAsia="PMingLiU"/>
          <w:sz w:val="24"/>
          <w:lang w:eastAsia="zh-TW"/>
        </w:rPr>
      </w:pP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甲方（捐赠方）：</w:t>
      </w:r>
      <w:r>
        <w:rPr>
          <w:rFonts w:ascii="仿宋" w:hAnsi="仿宋" w:eastAsia="仿宋"/>
          <w:color w:val="000000"/>
          <w:sz w:val="24"/>
        </w:rPr>
        <w:t xml:space="preserve"> </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法人代表：</w:t>
      </w:r>
      <w:r>
        <w:rPr>
          <w:rFonts w:ascii="仿宋" w:hAnsi="仿宋" w:eastAsia="仿宋"/>
          <w:color w:val="000000"/>
          <w:sz w:val="24"/>
        </w:rPr>
        <w:t xml:space="preserve"> </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联系地址：</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邮政编码：</w:t>
      </w:r>
    </w:p>
    <w:p>
      <w:pPr>
        <w:adjustRightInd w:val="0"/>
        <w:snapToGrid w:val="0"/>
        <w:spacing w:line="480" w:lineRule="exact"/>
        <w:rPr>
          <w:rFonts w:ascii="仿宋" w:hAnsi="仿宋" w:eastAsia="仿宋"/>
          <w:color w:val="000000"/>
          <w:w w:val="106"/>
          <w:kern w:val="10"/>
          <w:sz w:val="24"/>
        </w:rPr>
      </w:pPr>
      <w:r>
        <w:rPr>
          <w:rFonts w:hint="eastAsia" w:ascii="仿宋" w:hAnsi="仿宋" w:eastAsia="仿宋"/>
          <w:color w:val="000000"/>
          <w:w w:val="106"/>
          <w:kern w:val="10"/>
          <w:sz w:val="24"/>
        </w:rPr>
        <w:t>联 系 人：</w:t>
      </w:r>
      <w:r>
        <w:rPr>
          <w:rFonts w:ascii="仿宋" w:hAnsi="仿宋" w:eastAsia="仿宋"/>
          <w:color w:val="000000"/>
          <w:w w:val="106"/>
          <w:kern w:val="10"/>
          <w:sz w:val="24"/>
        </w:rPr>
        <w:t xml:space="preserve"> </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联系电话：</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电子邮箱：</w:t>
      </w:r>
    </w:p>
    <w:p>
      <w:pPr>
        <w:adjustRightInd w:val="0"/>
        <w:snapToGrid w:val="0"/>
        <w:spacing w:line="480" w:lineRule="exact"/>
        <w:rPr>
          <w:rFonts w:ascii="仿宋" w:hAnsi="仿宋" w:eastAsia="仿宋"/>
          <w:color w:val="000000"/>
          <w:sz w:val="24"/>
        </w:rPr>
      </w:pP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乙方（受赠方）：东南大学教育基金会</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法人代表：左惟</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联系地址：江苏省南京市四牌楼2号</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邮政编码：210096</w:t>
      </w:r>
    </w:p>
    <w:p>
      <w:pPr>
        <w:adjustRightInd w:val="0"/>
        <w:snapToGrid w:val="0"/>
        <w:spacing w:line="480" w:lineRule="exact"/>
        <w:rPr>
          <w:rFonts w:ascii="仿宋" w:hAnsi="仿宋" w:eastAsia="仿宋"/>
          <w:color w:val="000000"/>
          <w:w w:val="106"/>
          <w:kern w:val="10"/>
          <w:sz w:val="24"/>
        </w:rPr>
      </w:pPr>
      <w:r>
        <w:rPr>
          <w:rFonts w:hint="eastAsia" w:ascii="仿宋" w:hAnsi="仿宋" w:eastAsia="仿宋"/>
          <w:color w:val="000000"/>
          <w:w w:val="106"/>
          <w:kern w:val="10"/>
          <w:sz w:val="24"/>
        </w:rPr>
        <w:t>联系人：宋云燕</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联系电话：</w:t>
      </w:r>
      <w:r>
        <w:rPr>
          <w:rFonts w:ascii="仿宋" w:hAnsi="仿宋" w:eastAsia="仿宋"/>
          <w:color w:val="000000"/>
          <w:sz w:val="24"/>
        </w:rPr>
        <w:t>025</w:t>
      </w:r>
      <w:r>
        <w:rPr>
          <w:rFonts w:hint="eastAsia" w:ascii="仿宋" w:hAnsi="仿宋" w:eastAsia="仿宋"/>
          <w:color w:val="000000"/>
          <w:sz w:val="24"/>
        </w:rPr>
        <w:t>-</w:t>
      </w:r>
      <w:r>
        <w:rPr>
          <w:rFonts w:ascii="仿宋" w:hAnsi="仿宋" w:eastAsia="仿宋"/>
          <w:color w:val="000000"/>
          <w:sz w:val="24"/>
        </w:rPr>
        <w:t>83792215</w:t>
      </w: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电子邮箱：1</w:t>
      </w:r>
      <w:r>
        <w:rPr>
          <w:rFonts w:ascii="仿宋" w:hAnsi="仿宋" w:eastAsia="仿宋"/>
          <w:color w:val="000000"/>
          <w:sz w:val="24"/>
        </w:rPr>
        <w:t>03007609</w:t>
      </w:r>
      <w:r>
        <w:rPr>
          <w:rFonts w:hint="eastAsia" w:ascii="仿宋" w:hAnsi="仿宋" w:eastAsia="仿宋"/>
          <w:color w:val="000000"/>
          <w:sz w:val="24"/>
        </w:rPr>
        <w:t>@seu</w:t>
      </w:r>
      <w:r>
        <w:rPr>
          <w:rFonts w:ascii="仿宋" w:hAnsi="仿宋" w:eastAsia="仿宋"/>
          <w:color w:val="000000"/>
          <w:sz w:val="24"/>
        </w:rPr>
        <w:t>.edu.cn</w:t>
      </w:r>
    </w:p>
    <w:p>
      <w:pPr>
        <w:adjustRightInd w:val="0"/>
        <w:snapToGrid w:val="0"/>
        <w:spacing w:line="480" w:lineRule="exact"/>
        <w:rPr>
          <w:rFonts w:ascii="仿宋" w:hAnsi="仿宋" w:eastAsia="仿宋"/>
          <w:color w:val="000000"/>
          <w:sz w:val="24"/>
        </w:rPr>
      </w:pPr>
    </w:p>
    <w:p>
      <w:pPr>
        <w:spacing w:line="480" w:lineRule="exact"/>
        <w:ind w:firstLine="480" w:firstLineChars="200"/>
        <w:rPr>
          <w:rFonts w:ascii="仿宋" w:hAnsi="仿宋" w:eastAsia="仿宋" w:cs="宋体"/>
          <w:sz w:val="24"/>
        </w:rPr>
      </w:pPr>
      <w:r>
        <w:rPr>
          <w:rFonts w:hint="eastAsia" w:ascii="仿宋" w:hAnsi="仿宋" w:eastAsia="仿宋" w:cs="宋体"/>
          <w:sz w:val="24"/>
        </w:rPr>
        <w:t>甲方</w:t>
      </w:r>
      <w:r>
        <w:rPr>
          <w:rFonts w:ascii="仿宋" w:hAnsi="仿宋" w:eastAsia="仿宋" w:cs="宋体"/>
          <w:sz w:val="24"/>
        </w:rPr>
        <w:t>简介……</w:t>
      </w:r>
      <w:r>
        <w:rPr>
          <w:rFonts w:hint="eastAsia" w:ascii="仿宋" w:hAnsi="仿宋" w:eastAsia="仿宋" w:cs="宋体"/>
          <w:sz w:val="24"/>
        </w:rPr>
        <w:t>。重视人才的培养和任用，关心国家教育事业的发展。</w:t>
      </w:r>
    </w:p>
    <w:p>
      <w:pPr>
        <w:spacing w:line="480" w:lineRule="exact"/>
        <w:ind w:firstLine="480" w:firstLineChars="200"/>
        <w:rPr>
          <w:rFonts w:ascii="仿宋" w:hAnsi="仿宋" w:eastAsia="仿宋" w:cs="宋体"/>
          <w:sz w:val="24"/>
        </w:rPr>
      </w:pPr>
      <w:r>
        <w:rPr>
          <w:rFonts w:hint="eastAsia" w:ascii="仿宋" w:hAnsi="仿宋" w:eastAsia="仿宋" w:cs="宋体"/>
          <w:sz w:val="24"/>
        </w:rPr>
        <w:t>东南大学教育基金会（以下简称“乙方”）成立于1987年，2005年10月经省教育厅、民政厅批准正式注册。主要为东南大学的建设和发展提供资金支持。同时依托东南大学雄厚的综合实力，服务社会发展，促进社会进步。</w:t>
      </w:r>
    </w:p>
    <w:p>
      <w:pPr>
        <w:spacing w:line="480" w:lineRule="exact"/>
        <w:ind w:firstLine="480" w:firstLineChars="200"/>
        <w:rPr>
          <w:rFonts w:ascii="仿宋" w:hAnsi="仿宋" w:eastAsia="仿宋" w:cs="Arial"/>
          <w:bCs/>
          <w:color w:val="000000"/>
          <w:kern w:val="0"/>
          <w:sz w:val="24"/>
        </w:rPr>
      </w:pPr>
      <w:r>
        <w:rPr>
          <w:rFonts w:hint="eastAsia" w:ascii="仿宋" w:hAnsi="仿宋" w:eastAsia="仿宋" w:cs="Arial"/>
          <w:bCs/>
          <w:color w:val="000000"/>
          <w:kern w:val="0"/>
          <w:sz w:val="24"/>
        </w:rPr>
        <w:t>根据《中华人民共和国慈善法》、《中华人民共和国公益事业捐赠法》、《中华人民共和国合同法》、《基金会管理条例》等法律法规的规定，经双方友好协商，就甲方自愿向乙方捐赠的相关事宜，达成如下协议：</w:t>
      </w:r>
    </w:p>
    <w:p>
      <w:pPr>
        <w:snapToGrid w:val="0"/>
        <w:spacing w:line="480" w:lineRule="exact"/>
        <w:ind w:firstLine="480" w:firstLineChars="200"/>
        <w:rPr>
          <w:rFonts w:ascii="仿宋" w:hAnsi="仿宋" w:eastAsia="仿宋"/>
          <w:sz w:val="24"/>
        </w:rPr>
      </w:pPr>
      <w:r>
        <w:rPr>
          <w:rFonts w:hint="eastAsia" w:ascii="仿宋" w:hAnsi="仿宋" w:eastAsia="仿宋"/>
          <w:sz w:val="24"/>
        </w:rPr>
        <w:t>第一条  甲方为支持东南大学教育事业的发展，决定向乙方捐资人民币</w:t>
      </w:r>
      <w:r>
        <w:rPr>
          <w:rFonts w:ascii="仿宋" w:hAnsi="仿宋" w:eastAsia="仿宋"/>
          <w:sz w:val="24"/>
        </w:rPr>
        <w:t>?</w:t>
      </w:r>
      <w:r>
        <w:rPr>
          <w:rFonts w:hint="eastAsia" w:ascii="仿宋" w:hAnsi="仿宋" w:eastAsia="仿宋"/>
          <w:sz w:val="24"/>
        </w:rPr>
        <w:t>万元（</w:t>
      </w:r>
      <w:r>
        <w:rPr>
          <w:rFonts w:ascii="仿宋" w:hAnsi="仿宋" w:eastAsia="仿宋"/>
          <w:sz w:val="24"/>
        </w:rPr>
        <w:t>?</w:t>
      </w:r>
      <w:r>
        <w:rPr>
          <w:rFonts w:hint="eastAsia" w:ascii="仿宋" w:hAnsi="仿宋" w:eastAsia="仿宋"/>
          <w:sz w:val="24"/>
        </w:rPr>
        <w:t>万元整）设立</w:t>
      </w:r>
      <w:r>
        <w:rPr>
          <w:rFonts w:hint="eastAsia" w:ascii="仿宋" w:hAnsi="仿宋" w:eastAsia="仿宋" w:cs="Arial"/>
          <w:bCs/>
          <w:color w:val="000000"/>
          <w:kern w:val="0"/>
          <w:sz w:val="24"/>
        </w:rPr>
        <w:t>“X</w:t>
      </w:r>
      <w:r>
        <w:rPr>
          <w:rFonts w:ascii="仿宋" w:hAnsi="仿宋" w:eastAsia="仿宋" w:cs="Arial"/>
          <w:bCs/>
          <w:color w:val="000000"/>
          <w:kern w:val="0"/>
          <w:sz w:val="24"/>
        </w:rPr>
        <w:t>XX</w:t>
      </w:r>
      <w:r>
        <w:rPr>
          <w:rFonts w:hint="eastAsia" w:ascii="仿宋" w:hAnsi="仿宋" w:eastAsia="仿宋" w:cs="Arial"/>
          <w:bCs/>
          <w:color w:val="000000"/>
          <w:kern w:val="0"/>
          <w:sz w:val="24"/>
        </w:rPr>
        <w:t>”</w:t>
      </w:r>
      <w:r>
        <w:rPr>
          <w:rFonts w:hint="eastAsia" w:ascii="仿宋" w:hAnsi="仿宋" w:eastAsia="仿宋"/>
          <w:sz w:val="24"/>
        </w:rPr>
        <w:t>，用于X</w:t>
      </w:r>
      <w:r>
        <w:rPr>
          <w:rFonts w:ascii="仿宋" w:hAnsi="仿宋" w:eastAsia="仿宋"/>
          <w:sz w:val="24"/>
        </w:rPr>
        <w:t>XX</w:t>
      </w:r>
      <w:r>
        <w:rPr>
          <w:rFonts w:hint="eastAsia" w:ascii="仿宋" w:hAnsi="仿宋" w:eastAsia="仿宋"/>
          <w:sz w:val="24"/>
        </w:rPr>
        <w:t>。捐赠资金分</w:t>
      </w:r>
      <w:r>
        <w:rPr>
          <w:rFonts w:ascii="仿宋" w:hAnsi="仿宋" w:eastAsia="仿宋"/>
          <w:sz w:val="24"/>
        </w:rPr>
        <w:t>?</w:t>
      </w:r>
      <w:r>
        <w:rPr>
          <w:rFonts w:hint="eastAsia" w:ascii="仿宋" w:hAnsi="仿宋" w:eastAsia="仿宋"/>
          <w:sz w:val="24"/>
        </w:rPr>
        <w:t>年拨付，每年人民币</w:t>
      </w:r>
      <w:r>
        <w:rPr>
          <w:rFonts w:ascii="仿宋" w:hAnsi="仿宋" w:eastAsia="仿宋"/>
          <w:sz w:val="24"/>
        </w:rPr>
        <w:t>?</w:t>
      </w:r>
      <w:r>
        <w:rPr>
          <w:rFonts w:hint="eastAsia" w:ascii="仿宋" w:hAnsi="仿宋" w:eastAsia="仿宋"/>
          <w:sz w:val="24"/>
        </w:rPr>
        <w:t>万元（?万元整）,包含项目</w:t>
      </w:r>
      <w:r>
        <w:rPr>
          <w:rFonts w:ascii="仿宋" w:hAnsi="仿宋" w:eastAsia="仿宋"/>
          <w:sz w:val="24"/>
        </w:rPr>
        <w:t>执行费</w:t>
      </w:r>
      <w:r>
        <w:rPr>
          <w:rFonts w:hint="eastAsia" w:ascii="仿宋" w:hAnsi="仿宋" w:eastAsia="仿宋"/>
          <w:sz w:val="24"/>
        </w:rPr>
        <w:t>。</w:t>
      </w:r>
    </w:p>
    <w:p>
      <w:pPr>
        <w:adjustRightInd w:val="0"/>
        <w:snapToGrid w:val="0"/>
        <w:spacing w:line="480" w:lineRule="exact"/>
        <w:ind w:firstLine="480" w:firstLineChars="200"/>
        <w:rPr>
          <w:rFonts w:ascii="仿宋" w:hAnsi="仿宋" w:eastAsia="仿宋"/>
          <w:sz w:val="24"/>
        </w:rPr>
      </w:pPr>
      <w:r>
        <w:rPr>
          <w:rFonts w:hint="eastAsia" w:ascii="仿宋" w:hAnsi="仿宋" w:eastAsia="仿宋"/>
          <w:sz w:val="24"/>
        </w:rPr>
        <w:t xml:space="preserve">第二条 </w:t>
      </w:r>
      <w:r>
        <w:rPr>
          <w:rFonts w:ascii="仿宋" w:hAnsi="仿宋" w:eastAsia="仿宋"/>
          <w:sz w:val="24"/>
        </w:rPr>
        <w:t xml:space="preserve"> </w:t>
      </w:r>
      <w:r>
        <w:rPr>
          <w:rFonts w:hint="eastAsia" w:ascii="仿宋" w:hAnsi="仿宋" w:eastAsia="仿宋"/>
          <w:sz w:val="24"/>
        </w:rPr>
        <w:t>分配方式和资助金额如下：</w:t>
      </w:r>
    </w:p>
    <w:tbl>
      <w:tblPr>
        <w:tblStyle w:val="7"/>
        <w:tblW w:w="9630" w:type="dxa"/>
        <w:jc w:val="center"/>
        <w:tblInd w:w="0" w:type="dxa"/>
        <w:tblLayout w:type="fixed"/>
        <w:tblCellMar>
          <w:top w:w="0" w:type="dxa"/>
          <w:left w:w="108" w:type="dxa"/>
          <w:bottom w:w="0" w:type="dxa"/>
          <w:right w:w="108" w:type="dxa"/>
        </w:tblCellMar>
      </w:tblPr>
      <w:tblGrid>
        <w:gridCol w:w="1555"/>
        <w:gridCol w:w="2976"/>
        <w:gridCol w:w="1980"/>
        <w:gridCol w:w="992"/>
        <w:gridCol w:w="2127"/>
      </w:tblGrid>
      <w:tr>
        <w:tblPrEx>
          <w:tblLayout w:type="fixed"/>
          <w:tblCellMar>
            <w:top w:w="0" w:type="dxa"/>
            <w:left w:w="108" w:type="dxa"/>
            <w:bottom w:w="0" w:type="dxa"/>
            <w:right w:w="108" w:type="dxa"/>
          </w:tblCellMar>
        </w:tblPrEx>
        <w:trPr>
          <w:trHeight w:val="511" w:hRule="atLeast"/>
          <w:jc w:val="center"/>
        </w:trPr>
        <w:tc>
          <w:tcPr>
            <w:tcW w:w="1555" w:type="dxa"/>
            <w:tcBorders>
              <w:top w:val="single" w:color="auto" w:sz="4" w:space="0"/>
              <w:left w:val="single" w:color="auto" w:sz="4" w:space="0"/>
              <w:bottom w:val="single" w:color="auto" w:sz="4" w:space="0"/>
              <w:right w:val="single" w:color="auto" w:sz="4" w:space="0"/>
            </w:tcBorders>
            <w:shd w:val="clear" w:color="auto" w:fill="FFCC99"/>
            <w:vAlign w:val="center"/>
          </w:tcPr>
          <w:p>
            <w:pPr>
              <w:adjustRightInd w:val="0"/>
              <w:snapToGrid w:val="0"/>
              <w:spacing w:line="480" w:lineRule="exact"/>
              <w:jc w:val="center"/>
              <w:rPr>
                <w:rFonts w:ascii="仿宋" w:hAnsi="仿宋" w:eastAsia="仿宋"/>
                <w:sz w:val="24"/>
              </w:rPr>
            </w:pPr>
            <w:r>
              <w:rPr>
                <w:rFonts w:hint="eastAsia" w:ascii="仿宋" w:hAnsi="仿宋" w:eastAsia="仿宋"/>
                <w:sz w:val="24"/>
              </w:rPr>
              <w:t>项目</w:t>
            </w:r>
            <w:r>
              <w:rPr>
                <w:rFonts w:ascii="仿宋" w:hAnsi="仿宋" w:eastAsia="仿宋"/>
                <w:sz w:val="24"/>
              </w:rPr>
              <w:t>名称</w:t>
            </w:r>
          </w:p>
        </w:tc>
        <w:tc>
          <w:tcPr>
            <w:tcW w:w="2976" w:type="dxa"/>
            <w:tcBorders>
              <w:top w:val="single" w:color="auto" w:sz="4" w:space="0"/>
              <w:left w:val="single" w:color="auto" w:sz="4" w:space="0"/>
              <w:bottom w:val="single" w:color="auto" w:sz="4" w:space="0"/>
              <w:right w:val="single" w:color="auto" w:sz="4" w:space="0"/>
            </w:tcBorders>
            <w:shd w:val="clear" w:color="auto" w:fill="FFCC99"/>
            <w:noWrap/>
            <w:vAlign w:val="center"/>
          </w:tcPr>
          <w:p>
            <w:pPr>
              <w:adjustRightInd w:val="0"/>
              <w:snapToGrid w:val="0"/>
              <w:spacing w:line="480" w:lineRule="exact"/>
              <w:ind w:firstLine="200"/>
              <w:jc w:val="center"/>
              <w:rPr>
                <w:rFonts w:ascii="仿宋" w:hAnsi="仿宋" w:eastAsia="仿宋"/>
                <w:sz w:val="24"/>
              </w:rPr>
            </w:pPr>
            <w:r>
              <w:rPr>
                <w:rFonts w:hint="eastAsia" w:ascii="仿宋" w:hAnsi="仿宋" w:eastAsia="仿宋"/>
                <w:sz w:val="24"/>
              </w:rPr>
              <w:t>奖励对象</w:t>
            </w:r>
          </w:p>
        </w:tc>
        <w:tc>
          <w:tcPr>
            <w:tcW w:w="1980" w:type="dxa"/>
            <w:tcBorders>
              <w:top w:val="single" w:color="auto" w:sz="4" w:space="0"/>
              <w:left w:val="nil"/>
              <w:bottom w:val="single" w:color="auto" w:sz="4" w:space="0"/>
              <w:right w:val="single" w:color="auto" w:sz="4" w:space="0"/>
            </w:tcBorders>
            <w:shd w:val="clear" w:color="auto" w:fill="FFCC99"/>
            <w:noWrap/>
            <w:vAlign w:val="center"/>
          </w:tcPr>
          <w:p>
            <w:pPr>
              <w:adjustRightInd w:val="0"/>
              <w:snapToGrid w:val="0"/>
              <w:spacing w:line="480" w:lineRule="exact"/>
              <w:jc w:val="center"/>
              <w:rPr>
                <w:rFonts w:ascii="仿宋" w:hAnsi="仿宋" w:eastAsia="仿宋"/>
                <w:sz w:val="24"/>
              </w:rPr>
            </w:pPr>
            <w:r>
              <w:rPr>
                <w:rFonts w:hint="eastAsia" w:ascii="仿宋" w:hAnsi="仿宋" w:eastAsia="仿宋"/>
                <w:sz w:val="24"/>
              </w:rPr>
              <w:t>奖励标准（元）</w:t>
            </w:r>
          </w:p>
        </w:tc>
        <w:tc>
          <w:tcPr>
            <w:tcW w:w="992" w:type="dxa"/>
            <w:tcBorders>
              <w:top w:val="single" w:color="auto" w:sz="4" w:space="0"/>
              <w:left w:val="nil"/>
              <w:bottom w:val="single" w:color="auto" w:sz="4" w:space="0"/>
              <w:right w:val="single" w:color="auto" w:sz="4" w:space="0"/>
            </w:tcBorders>
            <w:shd w:val="clear" w:color="auto" w:fill="FFCC99"/>
            <w:noWrap/>
            <w:vAlign w:val="center"/>
          </w:tcPr>
          <w:p>
            <w:pPr>
              <w:adjustRightInd w:val="0"/>
              <w:snapToGrid w:val="0"/>
              <w:spacing w:line="480" w:lineRule="exact"/>
              <w:jc w:val="center"/>
              <w:rPr>
                <w:rFonts w:ascii="仿宋" w:hAnsi="仿宋" w:eastAsia="仿宋"/>
                <w:sz w:val="24"/>
              </w:rPr>
            </w:pPr>
            <w:r>
              <w:rPr>
                <w:rFonts w:hint="eastAsia" w:ascii="仿宋" w:hAnsi="仿宋" w:eastAsia="仿宋"/>
                <w:sz w:val="24"/>
              </w:rPr>
              <w:t>名额</w:t>
            </w:r>
          </w:p>
        </w:tc>
        <w:tc>
          <w:tcPr>
            <w:tcW w:w="2127" w:type="dxa"/>
            <w:tcBorders>
              <w:top w:val="single" w:color="auto" w:sz="4" w:space="0"/>
              <w:left w:val="nil"/>
              <w:bottom w:val="single" w:color="auto" w:sz="4" w:space="0"/>
              <w:right w:val="single" w:color="auto" w:sz="8" w:space="0"/>
            </w:tcBorders>
            <w:shd w:val="clear" w:color="auto" w:fill="FFCC99"/>
            <w:noWrap/>
            <w:vAlign w:val="center"/>
          </w:tcPr>
          <w:p>
            <w:pPr>
              <w:adjustRightInd w:val="0"/>
              <w:snapToGrid w:val="0"/>
              <w:spacing w:line="480" w:lineRule="exact"/>
              <w:ind w:firstLine="200"/>
              <w:jc w:val="center"/>
              <w:rPr>
                <w:rFonts w:ascii="仿宋" w:hAnsi="仿宋" w:eastAsia="仿宋"/>
                <w:sz w:val="24"/>
              </w:rPr>
            </w:pPr>
            <w:r>
              <w:rPr>
                <w:rFonts w:hint="eastAsia" w:ascii="仿宋" w:hAnsi="仿宋" w:eastAsia="仿宋"/>
                <w:sz w:val="24"/>
              </w:rPr>
              <w:t>合计（元）</w:t>
            </w:r>
          </w:p>
        </w:tc>
      </w:tr>
      <w:tr>
        <w:tblPrEx>
          <w:tblLayout w:type="fixed"/>
          <w:tblCellMar>
            <w:top w:w="0" w:type="dxa"/>
            <w:left w:w="108" w:type="dxa"/>
            <w:bottom w:w="0" w:type="dxa"/>
            <w:right w:w="108" w:type="dxa"/>
          </w:tblCellMar>
        </w:tblPrEx>
        <w:trPr>
          <w:trHeight w:val="330" w:hRule="atLeast"/>
          <w:jc w:val="center"/>
        </w:trPr>
        <w:tc>
          <w:tcPr>
            <w:tcW w:w="1555" w:type="dxa"/>
            <w:tcBorders>
              <w:top w:val="nil"/>
              <w:left w:val="single" w:color="auto" w:sz="4" w:space="0"/>
              <w:bottom w:val="single" w:color="auto" w:sz="4" w:space="0"/>
              <w:right w:val="single" w:color="auto" w:sz="4" w:space="0"/>
            </w:tcBorders>
            <w:vAlign w:val="center"/>
          </w:tcPr>
          <w:p>
            <w:pPr>
              <w:adjustRightInd w:val="0"/>
              <w:snapToGrid w:val="0"/>
              <w:spacing w:line="480" w:lineRule="exact"/>
              <w:ind w:firstLine="30"/>
              <w:jc w:val="center"/>
              <w:rPr>
                <w:rFonts w:hint="eastAsia" w:ascii="仿宋" w:hAnsi="仿宋" w:eastAsia="仿宋" w:cs="Arial"/>
                <w:bCs/>
                <w:color w:val="000000"/>
                <w:kern w:val="0"/>
                <w:sz w:val="22"/>
              </w:rPr>
            </w:pPr>
            <w:r>
              <w:rPr>
                <w:rFonts w:hint="eastAsia" w:ascii="仿宋" w:hAnsi="仿宋" w:eastAsia="仿宋" w:cs="Arial"/>
                <w:bCs/>
                <w:color w:val="000000"/>
                <w:kern w:val="0"/>
                <w:sz w:val="22"/>
              </w:rPr>
              <w:t>奖学金</w:t>
            </w:r>
          </w:p>
        </w:tc>
        <w:tc>
          <w:tcPr>
            <w:tcW w:w="2976" w:type="dxa"/>
            <w:tcBorders>
              <w:top w:val="nil"/>
              <w:left w:val="single" w:color="auto" w:sz="4" w:space="0"/>
              <w:bottom w:val="single" w:color="auto" w:sz="4" w:space="0"/>
              <w:right w:val="single" w:color="auto" w:sz="4" w:space="0"/>
            </w:tcBorders>
            <w:noWrap/>
            <w:vAlign w:val="top"/>
          </w:tcPr>
          <w:p>
            <w:pPr>
              <w:adjustRightInd w:val="0"/>
              <w:snapToGrid w:val="0"/>
              <w:spacing w:line="480" w:lineRule="exact"/>
              <w:jc w:val="both"/>
              <w:rPr>
                <w:rFonts w:ascii="仿宋" w:hAnsi="仿宋" w:eastAsia="仿宋"/>
                <w:szCs w:val="21"/>
              </w:rPr>
            </w:pPr>
            <w:r>
              <w:rPr>
                <w:rFonts w:hint="eastAsia" w:ascii="仿宋" w:hAnsi="仿宋" w:eastAsia="仿宋"/>
                <w:szCs w:val="21"/>
              </w:rPr>
              <w:t>奖励成绩优秀、全面发展的东南大学全日制本科生</w:t>
            </w:r>
          </w:p>
        </w:tc>
        <w:tc>
          <w:tcPr>
            <w:tcW w:w="1980"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992"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2127" w:type="dxa"/>
            <w:tcBorders>
              <w:top w:val="nil"/>
              <w:left w:val="nil"/>
              <w:bottom w:val="single" w:color="auto" w:sz="4" w:space="0"/>
              <w:right w:val="single" w:color="auto" w:sz="8" w:space="0"/>
            </w:tcBorders>
            <w:noWrap/>
            <w:vAlign w:val="center"/>
          </w:tcPr>
          <w:p>
            <w:pPr>
              <w:adjustRightInd w:val="0"/>
              <w:snapToGrid w:val="0"/>
              <w:spacing w:line="480" w:lineRule="exact"/>
              <w:ind w:firstLine="200"/>
              <w:jc w:val="center"/>
              <w:rPr>
                <w:rFonts w:ascii="仿宋" w:hAnsi="仿宋" w:eastAsia="仿宋"/>
                <w:szCs w:val="21"/>
              </w:rPr>
            </w:pPr>
          </w:p>
        </w:tc>
      </w:tr>
      <w:tr>
        <w:tblPrEx>
          <w:tblLayout w:type="fixed"/>
          <w:tblCellMar>
            <w:top w:w="0" w:type="dxa"/>
            <w:left w:w="108" w:type="dxa"/>
            <w:bottom w:w="0" w:type="dxa"/>
            <w:right w:w="108" w:type="dxa"/>
          </w:tblCellMar>
        </w:tblPrEx>
        <w:trPr>
          <w:trHeight w:val="330" w:hRule="atLeast"/>
          <w:jc w:val="center"/>
        </w:trPr>
        <w:tc>
          <w:tcPr>
            <w:tcW w:w="1555" w:type="dxa"/>
            <w:tcBorders>
              <w:top w:val="nil"/>
              <w:left w:val="single" w:color="auto" w:sz="4" w:space="0"/>
              <w:bottom w:val="single" w:color="auto" w:sz="4" w:space="0"/>
              <w:right w:val="single" w:color="auto" w:sz="4" w:space="0"/>
            </w:tcBorders>
            <w:vAlign w:val="center"/>
          </w:tcPr>
          <w:p>
            <w:pPr>
              <w:adjustRightInd w:val="0"/>
              <w:snapToGrid w:val="0"/>
              <w:spacing w:line="480" w:lineRule="exact"/>
              <w:ind w:firstLine="30"/>
              <w:jc w:val="center"/>
              <w:rPr>
                <w:rFonts w:hint="eastAsia" w:ascii="仿宋" w:hAnsi="仿宋" w:eastAsia="仿宋" w:cs="Arial"/>
                <w:bCs/>
                <w:color w:val="000000"/>
                <w:kern w:val="0"/>
                <w:sz w:val="22"/>
              </w:rPr>
            </w:pPr>
            <w:r>
              <w:rPr>
                <w:rFonts w:hint="eastAsia" w:ascii="仿宋" w:hAnsi="仿宋" w:eastAsia="仿宋" w:cs="Arial"/>
                <w:bCs/>
                <w:color w:val="000000"/>
                <w:kern w:val="0"/>
                <w:sz w:val="22"/>
              </w:rPr>
              <w:t>奖学金</w:t>
            </w:r>
          </w:p>
        </w:tc>
        <w:tc>
          <w:tcPr>
            <w:tcW w:w="2976" w:type="dxa"/>
            <w:tcBorders>
              <w:top w:val="nil"/>
              <w:left w:val="single" w:color="auto" w:sz="4" w:space="0"/>
              <w:bottom w:val="single" w:color="auto" w:sz="4" w:space="0"/>
              <w:right w:val="single" w:color="auto" w:sz="4" w:space="0"/>
            </w:tcBorders>
            <w:noWrap/>
            <w:vAlign w:val="top"/>
          </w:tcPr>
          <w:p>
            <w:pPr>
              <w:adjustRightInd w:val="0"/>
              <w:snapToGrid w:val="0"/>
              <w:spacing w:line="480" w:lineRule="exact"/>
              <w:jc w:val="both"/>
              <w:rPr>
                <w:rFonts w:ascii="仿宋" w:hAnsi="仿宋" w:eastAsia="仿宋"/>
                <w:szCs w:val="21"/>
              </w:rPr>
            </w:pPr>
            <w:r>
              <w:rPr>
                <w:rFonts w:hint="eastAsia" w:ascii="仿宋" w:hAnsi="仿宋" w:eastAsia="仿宋"/>
                <w:szCs w:val="21"/>
              </w:rPr>
              <w:t>奖励成绩优秀、全面发展的东南大学全日制硕士研究生</w:t>
            </w:r>
          </w:p>
        </w:tc>
        <w:tc>
          <w:tcPr>
            <w:tcW w:w="1980"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992"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2127" w:type="dxa"/>
            <w:tcBorders>
              <w:top w:val="nil"/>
              <w:left w:val="nil"/>
              <w:bottom w:val="single" w:color="auto" w:sz="4" w:space="0"/>
              <w:right w:val="single" w:color="auto" w:sz="8" w:space="0"/>
            </w:tcBorders>
            <w:noWrap/>
            <w:vAlign w:val="center"/>
          </w:tcPr>
          <w:p>
            <w:pPr>
              <w:adjustRightInd w:val="0"/>
              <w:snapToGrid w:val="0"/>
              <w:spacing w:line="480" w:lineRule="exact"/>
              <w:ind w:firstLine="200"/>
              <w:jc w:val="center"/>
              <w:rPr>
                <w:rFonts w:ascii="仿宋" w:hAnsi="仿宋" w:eastAsia="仿宋"/>
                <w:szCs w:val="21"/>
              </w:rPr>
            </w:pPr>
          </w:p>
        </w:tc>
      </w:tr>
      <w:tr>
        <w:tblPrEx>
          <w:tblLayout w:type="fixed"/>
          <w:tblCellMar>
            <w:top w:w="0" w:type="dxa"/>
            <w:left w:w="108" w:type="dxa"/>
            <w:bottom w:w="0" w:type="dxa"/>
            <w:right w:w="108" w:type="dxa"/>
          </w:tblCellMar>
        </w:tblPrEx>
        <w:trPr>
          <w:trHeight w:val="330" w:hRule="atLeast"/>
          <w:jc w:val="center"/>
        </w:trPr>
        <w:tc>
          <w:tcPr>
            <w:tcW w:w="1555" w:type="dxa"/>
            <w:tcBorders>
              <w:top w:val="nil"/>
              <w:left w:val="single" w:color="auto" w:sz="4" w:space="0"/>
              <w:bottom w:val="single" w:color="auto" w:sz="4" w:space="0"/>
              <w:right w:val="single" w:color="auto" w:sz="4" w:space="0"/>
            </w:tcBorders>
            <w:vAlign w:val="center"/>
          </w:tcPr>
          <w:p>
            <w:pPr>
              <w:adjustRightInd w:val="0"/>
              <w:snapToGrid w:val="0"/>
              <w:spacing w:line="480" w:lineRule="exact"/>
              <w:ind w:firstLine="30"/>
              <w:jc w:val="center"/>
              <w:rPr>
                <w:rFonts w:hint="eastAsia" w:ascii="仿宋" w:hAnsi="仿宋" w:eastAsia="仿宋" w:cs="Arial"/>
                <w:bCs/>
                <w:color w:val="000000"/>
                <w:kern w:val="0"/>
                <w:sz w:val="22"/>
              </w:rPr>
            </w:pPr>
            <w:r>
              <w:rPr>
                <w:rFonts w:hint="eastAsia" w:ascii="仿宋" w:hAnsi="仿宋" w:eastAsia="仿宋" w:cs="Arial"/>
                <w:bCs/>
                <w:color w:val="000000"/>
                <w:kern w:val="0"/>
                <w:sz w:val="22"/>
              </w:rPr>
              <w:t>奖教金</w:t>
            </w:r>
          </w:p>
        </w:tc>
        <w:tc>
          <w:tcPr>
            <w:tcW w:w="2976" w:type="dxa"/>
            <w:tcBorders>
              <w:top w:val="nil"/>
              <w:left w:val="single" w:color="auto" w:sz="4" w:space="0"/>
              <w:bottom w:val="single" w:color="auto" w:sz="4" w:space="0"/>
              <w:right w:val="single" w:color="auto" w:sz="4" w:space="0"/>
            </w:tcBorders>
            <w:noWrap/>
            <w:vAlign w:val="top"/>
          </w:tcPr>
          <w:p>
            <w:pPr>
              <w:adjustRightInd w:val="0"/>
              <w:snapToGrid w:val="0"/>
              <w:spacing w:line="480" w:lineRule="exact"/>
              <w:jc w:val="both"/>
              <w:rPr>
                <w:rFonts w:ascii="仿宋" w:hAnsi="仿宋" w:eastAsia="仿宋"/>
                <w:szCs w:val="21"/>
              </w:rPr>
            </w:pPr>
            <w:r>
              <w:rPr>
                <w:rFonts w:hint="eastAsia" w:ascii="仿宋" w:hAnsi="仿宋" w:eastAsia="仿宋"/>
                <w:szCs w:val="21"/>
              </w:rPr>
              <w:t>奖励教学、科研、管理等业绩突出的东南大学院系教职工</w:t>
            </w:r>
          </w:p>
        </w:tc>
        <w:tc>
          <w:tcPr>
            <w:tcW w:w="1980"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992"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2127" w:type="dxa"/>
            <w:tcBorders>
              <w:top w:val="nil"/>
              <w:left w:val="nil"/>
              <w:bottom w:val="single" w:color="auto" w:sz="4" w:space="0"/>
              <w:right w:val="single" w:color="auto" w:sz="8" w:space="0"/>
            </w:tcBorders>
            <w:noWrap/>
            <w:vAlign w:val="center"/>
          </w:tcPr>
          <w:p>
            <w:pPr>
              <w:adjustRightInd w:val="0"/>
              <w:snapToGrid w:val="0"/>
              <w:spacing w:line="480" w:lineRule="exact"/>
              <w:ind w:firstLine="200"/>
              <w:jc w:val="center"/>
              <w:rPr>
                <w:rFonts w:ascii="仿宋" w:hAnsi="仿宋" w:eastAsia="仿宋"/>
                <w:szCs w:val="21"/>
              </w:rPr>
            </w:pPr>
          </w:p>
        </w:tc>
      </w:tr>
      <w:tr>
        <w:tblPrEx>
          <w:tblLayout w:type="fixed"/>
          <w:tblCellMar>
            <w:top w:w="0" w:type="dxa"/>
            <w:left w:w="108" w:type="dxa"/>
            <w:bottom w:w="0" w:type="dxa"/>
            <w:right w:w="108" w:type="dxa"/>
          </w:tblCellMar>
        </w:tblPrEx>
        <w:trPr>
          <w:trHeight w:val="330" w:hRule="atLeast"/>
          <w:jc w:val="center"/>
        </w:trPr>
        <w:tc>
          <w:tcPr>
            <w:tcW w:w="1555" w:type="dxa"/>
            <w:tcBorders>
              <w:top w:val="nil"/>
              <w:left w:val="single" w:color="auto" w:sz="4" w:space="0"/>
              <w:bottom w:val="single" w:color="auto" w:sz="4" w:space="0"/>
              <w:right w:val="single" w:color="auto" w:sz="4" w:space="0"/>
            </w:tcBorders>
            <w:vAlign w:val="center"/>
          </w:tcPr>
          <w:p>
            <w:pPr>
              <w:adjustRightInd w:val="0"/>
              <w:snapToGrid w:val="0"/>
              <w:spacing w:line="480" w:lineRule="exact"/>
              <w:ind w:firstLine="30"/>
              <w:jc w:val="center"/>
              <w:rPr>
                <w:rFonts w:hint="eastAsia" w:ascii="仿宋" w:hAnsi="仿宋" w:eastAsia="仿宋" w:cs="Arial"/>
                <w:bCs/>
                <w:color w:val="000000"/>
                <w:kern w:val="0"/>
                <w:sz w:val="22"/>
              </w:rPr>
            </w:pPr>
            <w:r>
              <w:rPr>
                <w:rFonts w:hint="eastAsia" w:ascii="仿宋" w:hAnsi="仿宋" w:eastAsia="仿宋" w:cs="Arial"/>
                <w:bCs/>
                <w:color w:val="000000"/>
                <w:kern w:val="0"/>
                <w:sz w:val="22"/>
              </w:rPr>
              <w:t>奖管金</w:t>
            </w:r>
          </w:p>
        </w:tc>
        <w:tc>
          <w:tcPr>
            <w:tcW w:w="2976" w:type="dxa"/>
            <w:tcBorders>
              <w:top w:val="nil"/>
              <w:left w:val="single" w:color="auto" w:sz="4" w:space="0"/>
              <w:bottom w:val="single" w:color="auto" w:sz="4" w:space="0"/>
              <w:right w:val="single" w:color="auto" w:sz="4" w:space="0"/>
            </w:tcBorders>
            <w:noWrap/>
            <w:vAlign w:val="top"/>
          </w:tcPr>
          <w:p>
            <w:pPr>
              <w:adjustRightInd w:val="0"/>
              <w:snapToGrid w:val="0"/>
              <w:spacing w:line="480" w:lineRule="exact"/>
              <w:jc w:val="both"/>
              <w:rPr>
                <w:rFonts w:ascii="仿宋" w:hAnsi="仿宋" w:eastAsia="仿宋"/>
                <w:szCs w:val="21"/>
              </w:rPr>
            </w:pPr>
            <w:r>
              <w:rPr>
                <w:rFonts w:hint="eastAsia" w:ascii="仿宋" w:hAnsi="仿宋" w:eastAsia="仿宋"/>
                <w:szCs w:val="21"/>
              </w:rPr>
              <w:t>奖励管理、服务业绩突出的东南大学机关行政管理人员</w:t>
            </w:r>
          </w:p>
        </w:tc>
        <w:tc>
          <w:tcPr>
            <w:tcW w:w="1980"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992" w:type="dxa"/>
            <w:tcBorders>
              <w:top w:val="nil"/>
              <w:left w:val="nil"/>
              <w:bottom w:val="single" w:color="auto" w:sz="4" w:space="0"/>
              <w:right w:val="single" w:color="auto" w:sz="4" w:space="0"/>
            </w:tcBorders>
            <w:noWrap/>
            <w:vAlign w:val="center"/>
          </w:tcPr>
          <w:p>
            <w:pPr>
              <w:adjustRightInd w:val="0"/>
              <w:snapToGrid w:val="0"/>
              <w:spacing w:line="480" w:lineRule="exact"/>
              <w:ind w:firstLine="200"/>
              <w:jc w:val="center"/>
              <w:rPr>
                <w:rFonts w:ascii="仿宋" w:hAnsi="仿宋" w:eastAsia="仿宋"/>
                <w:szCs w:val="21"/>
              </w:rPr>
            </w:pPr>
          </w:p>
        </w:tc>
        <w:tc>
          <w:tcPr>
            <w:tcW w:w="2127" w:type="dxa"/>
            <w:tcBorders>
              <w:top w:val="nil"/>
              <w:left w:val="nil"/>
              <w:bottom w:val="single" w:color="auto" w:sz="4" w:space="0"/>
              <w:right w:val="single" w:color="auto" w:sz="8" w:space="0"/>
            </w:tcBorders>
            <w:noWrap/>
            <w:vAlign w:val="center"/>
          </w:tcPr>
          <w:p>
            <w:pPr>
              <w:adjustRightInd w:val="0"/>
              <w:snapToGrid w:val="0"/>
              <w:spacing w:line="480" w:lineRule="exact"/>
              <w:ind w:firstLine="200"/>
              <w:jc w:val="center"/>
              <w:rPr>
                <w:rFonts w:ascii="仿宋" w:hAnsi="仿宋" w:eastAsia="仿宋"/>
                <w:szCs w:val="21"/>
              </w:rPr>
            </w:pPr>
          </w:p>
        </w:tc>
      </w:tr>
      <w:tr>
        <w:tblPrEx>
          <w:tblLayout w:type="fixed"/>
          <w:tblCellMar>
            <w:top w:w="0" w:type="dxa"/>
            <w:left w:w="108" w:type="dxa"/>
            <w:bottom w:w="0" w:type="dxa"/>
            <w:right w:w="108" w:type="dxa"/>
          </w:tblCellMar>
        </w:tblPrEx>
        <w:trPr>
          <w:trHeight w:val="330" w:hRule="atLeast"/>
          <w:jc w:val="center"/>
        </w:trPr>
        <w:tc>
          <w:tcPr>
            <w:tcW w:w="1555" w:type="dxa"/>
            <w:tcBorders>
              <w:top w:val="nil"/>
              <w:left w:val="single" w:color="auto" w:sz="4" w:space="0"/>
              <w:bottom w:val="single" w:color="auto" w:sz="4" w:space="0"/>
              <w:right w:val="single" w:color="auto" w:sz="4" w:space="0"/>
            </w:tcBorders>
            <w:vAlign w:val="center"/>
          </w:tcPr>
          <w:p>
            <w:pPr>
              <w:adjustRightInd w:val="0"/>
              <w:snapToGrid w:val="0"/>
              <w:spacing w:line="480" w:lineRule="exact"/>
              <w:ind w:firstLine="200"/>
              <w:rPr>
                <w:rFonts w:ascii="仿宋" w:hAnsi="仿宋" w:eastAsia="仿宋"/>
                <w:szCs w:val="21"/>
              </w:rPr>
            </w:pPr>
            <w:r>
              <w:rPr>
                <w:rFonts w:hint="eastAsia" w:ascii="仿宋" w:hAnsi="仿宋" w:eastAsia="仿宋"/>
                <w:szCs w:val="21"/>
              </w:rPr>
              <w:t>项目</w:t>
            </w:r>
            <w:r>
              <w:rPr>
                <w:rFonts w:ascii="仿宋" w:hAnsi="仿宋" w:eastAsia="仿宋"/>
                <w:szCs w:val="21"/>
              </w:rPr>
              <w:t>执行费</w:t>
            </w:r>
          </w:p>
        </w:tc>
        <w:tc>
          <w:tcPr>
            <w:tcW w:w="8075" w:type="dxa"/>
            <w:gridSpan w:val="4"/>
            <w:tcBorders>
              <w:top w:val="nil"/>
              <w:left w:val="single" w:color="auto" w:sz="4" w:space="0"/>
              <w:bottom w:val="single" w:color="auto" w:sz="4" w:space="0"/>
              <w:right w:val="single" w:color="auto" w:sz="8" w:space="0"/>
            </w:tcBorders>
            <w:noWrap/>
            <w:vAlign w:val="center"/>
          </w:tcPr>
          <w:p>
            <w:pPr>
              <w:adjustRightInd w:val="0"/>
              <w:snapToGrid w:val="0"/>
              <w:spacing w:line="480" w:lineRule="exact"/>
              <w:ind w:firstLine="200"/>
              <w:jc w:val="center"/>
              <w:rPr>
                <w:rFonts w:ascii="仿宋" w:hAnsi="仿宋" w:eastAsia="仿宋"/>
                <w:szCs w:val="21"/>
              </w:rPr>
            </w:pPr>
          </w:p>
        </w:tc>
      </w:tr>
      <w:tr>
        <w:tblPrEx>
          <w:tblLayout w:type="fixed"/>
          <w:tblCellMar>
            <w:top w:w="0" w:type="dxa"/>
            <w:left w:w="108" w:type="dxa"/>
            <w:bottom w:w="0" w:type="dxa"/>
            <w:right w:w="108" w:type="dxa"/>
          </w:tblCellMar>
        </w:tblPrEx>
        <w:trPr>
          <w:trHeight w:val="347" w:hRule="atLeast"/>
          <w:jc w:val="center"/>
        </w:trPr>
        <w:tc>
          <w:tcPr>
            <w:tcW w:w="9630" w:type="dxa"/>
            <w:gridSpan w:val="5"/>
            <w:tcBorders>
              <w:top w:val="nil"/>
              <w:left w:val="single" w:color="auto" w:sz="4" w:space="0"/>
              <w:bottom w:val="single" w:color="auto" w:sz="8" w:space="0"/>
              <w:right w:val="single" w:color="auto" w:sz="8" w:space="0"/>
            </w:tcBorders>
            <w:shd w:val="clear" w:color="auto" w:fill="CCFFCC"/>
            <w:vAlign w:val="top"/>
          </w:tcPr>
          <w:p>
            <w:pPr>
              <w:adjustRightInd w:val="0"/>
              <w:snapToGrid w:val="0"/>
              <w:spacing w:line="480" w:lineRule="exact"/>
              <w:ind w:firstLine="200"/>
              <w:jc w:val="both"/>
              <w:rPr>
                <w:rFonts w:ascii="仿宋" w:hAnsi="仿宋" w:eastAsia="仿宋"/>
                <w:szCs w:val="21"/>
              </w:rPr>
            </w:pPr>
            <w:r>
              <w:rPr>
                <w:rFonts w:hint="eastAsia" w:ascii="仿宋" w:hAnsi="仿宋" w:eastAsia="仿宋"/>
                <w:b/>
                <w:szCs w:val="21"/>
              </w:rPr>
              <w:t>总计</w:t>
            </w:r>
          </w:p>
        </w:tc>
      </w:tr>
    </w:tbl>
    <w:p>
      <w:pPr>
        <w:widowControl/>
        <w:spacing w:line="480" w:lineRule="exact"/>
        <w:ind w:firstLine="480" w:firstLineChars="200"/>
        <w:jc w:val="left"/>
        <w:rPr>
          <w:rFonts w:ascii="仿宋" w:hAnsi="仿宋" w:eastAsia="仿宋"/>
          <w:sz w:val="24"/>
        </w:rPr>
      </w:pPr>
      <w:r>
        <w:rPr>
          <w:rFonts w:hint="eastAsia" w:ascii="仿宋" w:hAnsi="仿宋" w:eastAsia="仿宋"/>
          <w:sz w:val="24"/>
        </w:rPr>
        <w:t>1、此次设立的奖学金（助学金？）金额共计人民币？元，资助对象为东南大学？学院德智体全面发展、品学兼优的在校生。其中本科生？名，？元/名；（硕士/博士）研究生？名</w:t>
      </w:r>
      <w:r>
        <w:rPr>
          <w:rFonts w:ascii="仿宋" w:hAnsi="仿宋" w:eastAsia="仿宋"/>
          <w:sz w:val="24"/>
        </w:rPr>
        <w:t>，</w:t>
      </w:r>
      <w:r>
        <w:rPr>
          <w:rFonts w:hint="eastAsia" w:ascii="仿宋" w:hAnsi="仿宋" w:eastAsia="仿宋"/>
          <w:sz w:val="24"/>
        </w:rPr>
        <w:t>？元/名。</w:t>
      </w:r>
      <w:r>
        <w:rPr>
          <w:rFonts w:hint="eastAsia" w:ascii="仿宋" w:hAnsi="仿宋" w:eastAsia="仿宋"/>
          <w:color w:val="FF0000"/>
          <w:sz w:val="24"/>
        </w:rPr>
        <w:t>（</w:t>
      </w:r>
      <w:r>
        <w:rPr>
          <w:rFonts w:ascii="仿宋" w:hAnsi="仿宋" w:eastAsia="仿宋"/>
          <w:color w:val="FF0000"/>
          <w:sz w:val="24"/>
        </w:rPr>
        <w:t>建议</w:t>
      </w:r>
      <w:r>
        <w:rPr>
          <w:rFonts w:hint="eastAsia" w:ascii="仿宋" w:hAnsi="仿宋" w:eastAsia="仿宋"/>
          <w:color w:val="FF0000"/>
          <w:sz w:val="24"/>
        </w:rPr>
        <w:t>资助</w:t>
      </w:r>
      <w:r>
        <w:rPr>
          <w:rFonts w:ascii="仿宋" w:hAnsi="仿宋" w:eastAsia="仿宋"/>
          <w:color w:val="FF0000"/>
          <w:sz w:val="24"/>
        </w:rPr>
        <w:t>额度：</w:t>
      </w:r>
      <w:r>
        <w:rPr>
          <w:rFonts w:hint="eastAsia" w:ascii="仿宋" w:hAnsi="仿宋" w:eastAsia="仿宋"/>
          <w:color w:val="FF0000"/>
          <w:sz w:val="24"/>
        </w:rPr>
        <w:t>本科生5000元/名</w:t>
      </w:r>
      <w:r>
        <w:rPr>
          <w:rFonts w:ascii="仿宋" w:hAnsi="仿宋" w:eastAsia="仿宋"/>
          <w:color w:val="FF0000"/>
          <w:sz w:val="24"/>
        </w:rPr>
        <w:t>，硕士生</w:t>
      </w:r>
      <w:r>
        <w:rPr>
          <w:rFonts w:hint="eastAsia" w:ascii="仿宋" w:hAnsi="仿宋" w:eastAsia="仿宋"/>
          <w:color w:val="FF0000"/>
          <w:sz w:val="24"/>
        </w:rPr>
        <w:t>8000元/名，</w:t>
      </w:r>
      <w:r>
        <w:rPr>
          <w:rFonts w:ascii="仿宋" w:hAnsi="仿宋" w:eastAsia="仿宋"/>
          <w:color w:val="FF0000"/>
          <w:sz w:val="24"/>
        </w:rPr>
        <w:t>博士生</w:t>
      </w:r>
      <w:r>
        <w:rPr>
          <w:rFonts w:hint="eastAsia" w:ascii="仿宋" w:hAnsi="仿宋" w:eastAsia="仿宋"/>
          <w:color w:val="FF0000"/>
          <w:sz w:val="24"/>
        </w:rPr>
        <w:t>10000元/名）</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2、此次设立的奖教金奖励金额共计人民币？元，奖励对象为东南大学</w:t>
      </w:r>
      <w:r>
        <w:rPr>
          <w:rFonts w:ascii="仿宋" w:hAnsi="仿宋" w:eastAsia="仿宋"/>
          <w:sz w:val="24"/>
        </w:rPr>
        <w:t>？</w:t>
      </w:r>
      <w:r>
        <w:rPr>
          <w:rFonts w:hint="eastAsia" w:ascii="仿宋" w:hAnsi="仿宋" w:eastAsia="仿宋"/>
          <w:sz w:val="24"/>
        </w:rPr>
        <w:t>学院</w:t>
      </w:r>
      <w:r>
        <w:rPr>
          <w:rFonts w:ascii="仿宋" w:hAnsi="仿宋" w:eastAsia="仿宋"/>
          <w:sz w:val="24"/>
        </w:rPr>
        <w:t>在</w:t>
      </w:r>
      <w:r>
        <w:rPr>
          <w:rFonts w:hint="eastAsia" w:ascii="仿宋" w:hAnsi="仿宋" w:eastAsia="仿宋"/>
          <w:sz w:val="24"/>
        </w:rPr>
        <w:t>？方面业绩突出的教职工？名，？元/名。</w:t>
      </w:r>
      <w:r>
        <w:rPr>
          <w:rFonts w:hint="eastAsia" w:ascii="仿宋" w:hAnsi="仿宋" w:eastAsia="仿宋"/>
          <w:color w:val="FF0000"/>
          <w:sz w:val="24"/>
        </w:rPr>
        <w:t>（建议</w:t>
      </w:r>
      <w:r>
        <w:rPr>
          <w:rFonts w:ascii="仿宋" w:hAnsi="仿宋" w:eastAsia="仿宋"/>
          <w:color w:val="FF0000"/>
          <w:sz w:val="24"/>
        </w:rPr>
        <w:t>奖励额度</w:t>
      </w:r>
      <w:r>
        <w:rPr>
          <w:rFonts w:hint="eastAsia" w:ascii="仿宋" w:hAnsi="仿宋" w:eastAsia="仿宋"/>
          <w:color w:val="FF0000"/>
          <w:sz w:val="24"/>
        </w:rPr>
        <w:t>教职工</w:t>
      </w:r>
      <w:r>
        <w:rPr>
          <w:rFonts w:ascii="仿宋" w:hAnsi="仿宋" w:eastAsia="仿宋"/>
          <w:color w:val="FF0000"/>
          <w:sz w:val="24"/>
        </w:rPr>
        <w:t>为5</w:t>
      </w:r>
      <w:r>
        <w:rPr>
          <w:rFonts w:hint="eastAsia" w:ascii="仿宋" w:hAnsi="仿宋" w:eastAsia="仿宋"/>
          <w:color w:val="FF0000"/>
          <w:sz w:val="24"/>
        </w:rPr>
        <w:t>000元</w:t>
      </w:r>
      <w:r>
        <w:rPr>
          <w:rFonts w:ascii="仿宋" w:hAnsi="仿宋" w:eastAsia="仿宋"/>
          <w:color w:val="FF0000"/>
          <w:sz w:val="24"/>
        </w:rPr>
        <w:t>/</w:t>
      </w:r>
      <w:r>
        <w:rPr>
          <w:rFonts w:hint="eastAsia" w:ascii="仿宋" w:hAnsi="仿宋" w:eastAsia="仿宋"/>
          <w:color w:val="FF0000"/>
          <w:sz w:val="24"/>
        </w:rPr>
        <w:t>名）</w:t>
      </w:r>
    </w:p>
    <w:p>
      <w:pPr>
        <w:widowControl/>
        <w:spacing w:line="480" w:lineRule="exact"/>
        <w:ind w:firstLine="480" w:firstLineChars="200"/>
        <w:jc w:val="left"/>
        <w:rPr>
          <w:rFonts w:ascii="仿宋" w:hAnsi="仿宋" w:eastAsia="仿宋"/>
          <w:color w:val="000000"/>
          <w:sz w:val="24"/>
        </w:rPr>
      </w:pPr>
      <w:r>
        <w:rPr>
          <w:rFonts w:hint="eastAsia" w:ascii="仿宋" w:hAnsi="仿宋" w:eastAsia="仿宋"/>
          <w:sz w:val="24"/>
        </w:rPr>
        <w:t>3、</w:t>
      </w:r>
      <w:r>
        <w:rPr>
          <w:rFonts w:ascii="仿宋" w:hAnsi="仿宋" w:eastAsia="仿宋"/>
          <w:color w:val="000000"/>
          <w:sz w:val="24"/>
        </w:rPr>
        <w:t>此</w:t>
      </w:r>
      <w:r>
        <w:rPr>
          <w:rFonts w:hint="eastAsia" w:ascii="仿宋" w:hAnsi="仿宋" w:eastAsia="仿宋"/>
          <w:color w:val="000000"/>
          <w:sz w:val="24"/>
        </w:rPr>
        <w:t>项目</w:t>
      </w:r>
      <w:r>
        <w:rPr>
          <w:rFonts w:ascii="仿宋" w:hAnsi="仿宋" w:eastAsia="仿宋"/>
          <w:color w:val="000000"/>
          <w:sz w:val="24"/>
        </w:rPr>
        <w:t>执行费为</w:t>
      </w:r>
      <w:r>
        <w:rPr>
          <w:rFonts w:hint="eastAsia" w:ascii="仿宋" w:hAnsi="仿宋" w:eastAsia="仿宋"/>
          <w:color w:val="000000"/>
          <w:sz w:val="24"/>
        </w:rPr>
        <w:t>？元</w:t>
      </w:r>
      <w:r>
        <w:rPr>
          <w:rFonts w:ascii="仿宋" w:hAnsi="仿宋" w:eastAsia="仿宋"/>
          <w:color w:val="000000"/>
          <w:sz w:val="24"/>
        </w:rPr>
        <w:t>。</w:t>
      </w:r>
    </w:p>
    <w:p>
      <w:pPr>
        <w:adjustRightInd w:val="0"/>
        <w:snapToGrid w:val="0"/>
        <w:spacing w:line="480" w:lineRule="exact"/>
        <w:ind w:firstLine="480" w:firstLineChars="200"/>
        <w:rPr>
          <w:rFonts w:ascii="仿宋" w:hAnsi="仿宋" w:eastAsia="仿宋"/>
          <w:color w:val="000000"/>
          <w:sz w:val="24"/>
        </w:rPr>
      </w:pPr>
      <w:r>
        <w:rPr>
          <w:rFonts w:hint="eastAsia" w:ascii="仿宋" w:hAnsi="仿宋" w:eastAsia="仿宋"/>
          <w:color w:val="000000"/>
          <w:sz w:val="24"/>
        </w:rPr>
        <w:t xml:space="preserve">第三条 </w:t>
      </w:r>
      <w:r>
        <w:rPr>
          <w:rFonts w:hint="eastAsia" w:ascii="仿宋" w:hAnsi="仿宋" w:eastAsia="仿宋"/>
          <w:color w:val="000000"/>
          <w:sz w:val="24"/>
          <w:lang w:val="en-US" w:eastAsia="zh-CN"/>
        </w:rPr>
        <w:t xml:space="preserve"> </w:t>
      </w:r>
      <w:r>
        <w:rPr>
          <w:rFonts w:hint="eastAsia" w:ascii="仿宋" w:hAnsi="仿宋" w:eastAsia="仿宋"/>
          <w:color w:val="000000"/>
          <w:sz w:val="24"/>
        </w:rPr>
        <w:t>申请条件</w:t>
      </w:r>
    </w:p>
    <w:p>
      <w:pPr>
        <w:adjustRightInd w:val="0"/>
        <w:snapToGrid w:val="0"/>
        <w:spacing w:line="480" w:lineRule="exact"/>
        <w:ind w:firstLine="480" w:firstLineChars="200"/>
        <w:rPr>
          <w:rFonts w:ascii="仿宋" w:hAnsi="仿宋" w:eastAsia="仿宋"/>
          <w:color w:val="000000"/>
          <w:sz w:val="24"/>
        </w:rPr>
      </w:pPr>
      <w:r>
        <w:rPr>
          <w:rFonts w:hint="eastAsia" w:ascii="仿宋" w:hAnsi="仿宋" w:eastAsia="仿宋"/>
          <w:color w:val="000000"/>
          <w:sz w:val="24"/>
        </w:rPr>
        <w:t>奖学金</w:t>
      </w:r>
      <w:r>
        <w:rPr>
          <w:rFonts w:ascii="仿宋" w:hAnsi="仿宋" w:eastAsia="仿宋"/>
          <w:color w:val="000000"/>
          <w:sz w:val="24"/>
        </w:rPr>
        <w:t>申请条件：</w:t>
      </w:r>
    </w:p>
    <w:p>
      <w:pPr>
        <w:pStyle w:val="13"/>
        <w:spacing w:line="360" w:lineRule="auto"/>
        <w:ind w:firstLine="480" w:firstLineChars="200"/>
        <w:rPr>
          <w:rFonts w:ascii="仿宋" w:hAnsi="仿宋" w:eastAsia="仿宋"/>
          <w:kern w:val="2"/>
        </w:rPr>
      </w:pPr>
      <w:r>
        <w:rPr>
          <w:rFonts w:hint="eastAsia" w:ascii="仿宋" w:hAnsi="仿宋" w:eastAsia="仿宋"/>
          <w:kern w:val="2"/>
        </w:rPr>
        <w:t>1、拥护中国共产党，热爱祖国，热爱人民；</w:t>
      </w:r>
    </w:p>
    <w:p>
      <w:pPr>
        <w:pStyle w:val="13"/>
        <w:spacing w:line="360" w:lineRule="auto"/>
        <w:ind w:firstLine="480" w:firstLineChars="200"/>
        <w:rPr>
          <w:rFonts w:ascii="仿宋" w:hAnsi="仿宋" w:eastAsia="仿宋"/>
          <w:kern w:val="2"/>
        </w:rPr>
      </w:pPr>
      <w:r>
        <w:rPr>
          <w:rFonts w:hint="eastAsia" w:ascii="仿宋" w:hAnsi="仿宋" w:eastAsia="仿宋"/>
          <w:kern w:val="2"/>
        </w:rPr>
        <w:t>2、遵纪守法，品行端正，在校期间未受过通报批评或其他处分；</w:t>
      </w:r>
    </w:p>
    <w:p>
      <w:pPr>
        <w:pStyle w:val="13"/>
        <w:spacing w:line="360" w:lineRule="auto"/>
        <w:ind w:firstLine="480" w:firstLineChars="200"/>
        <w:rPr>
          <w:rFonts w:ascii="仿宋" w:hAnsi="仿宋" w:eastAsia="仿宋"/>
          <w:kern w:val="2"/>
        </w:rPr>
      </w:pPr>
      <w:r>
        <w:rPr>
          <w:rFonts w:hint="eastAsia" w:ascii="仿宋" w:hAnsi="仿宋" w:eastAsia="仿宋"/>
          <w:kern w:val="2"/>
        </w:rPr>
        <w:t>3、学习刻苦认真，成绩优良；</w:t>
      </w:r>
      <w:r>
        <w:rPr>
          <w:rFonts w:ascii="仿宋" w:hAnsi="仿宋" w:eastAsia="仿宋"/>
          <w:kern w:val="2"/>
        </w:rPr>
        <w:t xml:space="preserve">  </w:t>
      </w:r>
    </w:p>
    <w:p>
      <w:pPr>
        <w:pStyle w:val="13"/>
        <w:spacing w:line="360" w:lineRule="auto"/>
        <w:ind w:firstLine="480" w:firstLineChars="200"/>
        <w:jc w:val="both"/>
        <w:rPr>
          <w:rFonts w:ascii="仿宋" w:hAnsi="仿宋" w:eastAsia="仿宋"/>
          <w:kern w:val="2"/>
        </w:rPr>
      </w:pPr>
      <w:r>
        <w:rPr>
          <w:rFonts w:hint="eastAsia" w:ascii="仿宋" w:hAnsi="仿宋" w:eastAsia="仿宋"/>
          <w:kern w:val="2"/>
        </w:rPr>
        <w:t>4、关心集体、团结同学、热心公益活动，有较强的社会责任感。</w:t>
      </w:r>
    </w:p>
    <w:p>
      <w:pPr>
        <w:pStyle w:val="13"/>
        <w:spacing w:line="360" w:lineRule="auto"/>
        <w:ind w:firstLine="480" w:firstLineChars="200"/>
        <w:jc w:val="both"/>
        <w:rPr>
          <w:rFonts w:ascii="仿宋" w:hAnsi="仿宋" w:eastAsia="仿宋"/>
          <w:kern w:val="2"/>
        </w:rPr>
      </w:pPr>
      <w:r>
        <w:rPr>
          <w:rFonts w:hint="eastAsia" w:ascii="仿宋" w:hAnsi="仿宋" w:eastAsia="仿宋"/>
          <w:kern w:val="2"/>
        </w:rPr>
        <w:t>5、同等条件下，生活困难的学生优先。</w:t>
      </w:r>
    </w:p>
    <w:p>
      <w:pPr>
        <w:pStyle w:val="13"/>
        <w:spacing w:line="360" w:lineRule="auto"/>
        <w:ind w:firstLine="480" w:firstLineChars="200"/>
        <w:jc w:val="both"/>
        <w:rPr>
          <w:rFonts w:ascii="仿宋" w:hAnsi="仿宋" w:eastAsia="仿宋"/>
          <w:kern w:val="2"/>
        </w:rPr>
      </w:pPr>
      <w:r>
        <w:rPr>
          <w:rFonts w:hint="eastAsia" w:ascii="仿宋" w:hAnsi="仿宋" w:eastAsia="仿宋"/>
          <w:kern w:val="2"/>
        </w:rPr>
        <w:t>助学金</w:t>
      </w:r>
      <w:r>
        <w:rPr>
          <w:rFonts w:ascii="仿宋" w:hAnsi="仿宋" w:eastAsia="仿宋"/>
          <w:kern w:val="2"/>
        </w:rPr>
        <w:t>申请条件：</w:t>
      </w:r>
    </w:p>
    <w:p>
      <w:pPr>
        <w:pStyle w:val="13"/>
        <w:spacing w:line="360" w:lineRule="auto"/>
        <w:ind w:firstLine="480" w:firstLineChars="200"/>
        <w:rPr>
          <w:rFonts w:ascii="仿宋" w:hAnsi="仿宋" w:eastAsia="仿宋"/>
          <w:kern w:val="2"/>
        </w:rPr>
      </w:pPr>
      <w:r>
        <w:rPr>
          <w:rFonts w:hint="eastAsia" w:ascii="仿宋" w:hAnsi="仿宋" w:eastAsia="仿宋"/>
          <w:kern w:val="2"/>
        </w:rPr>
        <w:t>1、由学生处根据国家相关规定认定的贫困学生；</w:t>
      </w:r>
    </w:p>
    <w:p>
      <w:pPr>
        <w:pStyle w:val="13"/>
        <w:spacing w:line="360" w:lineRule="auto"/>
        <w:ind w:firstLine="480" w:firstLineChars="200"/>
        <w:rPr>
          <w:rFonts w:ascii="仿宋" w:hAnsi="仿宋" w:eastAsia="仿宋"/>
          <w:kern w:val="2"/>
        </w:rPr>
      </w:pPr>
      <w:r>
        <w:rPr>
          <w:rFonts w:hint="eastAsia" w:ascii="仿宋" w:hAnsi="仿宋" w:eastAsia="仿宋"/>
          <w:kern w:val="2"/>
        </w:rPr>
        <w:t>2、遵守宪法和法律，遵守学校规章制度，在校期间无违纪处分记录；</w:t>
      </w:r>
    </w:p>
    <w:p>
      <w:pPr>
        <w:pStyle w:val="13"/>
        <w:spacing w:line="360" w:lineRule="auto"/>
        <w:ind w:firstLine="480" w:firstLineChars="200"/>
        <w:rPr>
          <w:rFonts w:ascii="仿宋" w:hAnsi="仿宋" w:eastAsia="仿宋"/>
          <w:kern w:val="2"/>
        </w:rPr>
      </w:pPr>
      <w:r>
        <w:rPr>
          <w:rFonts w:hint="eastAsia" w:ascii="仿宋" w:hAnsi="仿宋" w:eastAsia="仿宋"/>
          <w:kern w:val="2"/>
        </w:rPr>
        <w:t>3、诚实守信，道德品质优良；</w:t>
      </w:r>
    </w:p>
    <w:p>
      <w:pPr>
        <w:pStyle w:val="13"/>
        <w:spacing w:line="360" w:lineRule="auto"/>
        <w:ind w:firstLine="480" w:firstLineChars="200"/>
        <w:rPr>
          <w:rFonts w:ascii="仿宋" w:hAnsi="仿宋" w:eastAsia="仿宋"/>
          <w:kern w:val="2"/>
        </w:rPr>
      </w:pPr>
      <w:r>
        <w:rPr>
          <w:rFonts w:hint="eastAsia" w:ascii="仿宋" w:hAnsi="仿宋" w:eastAsia="仿宋"/>
          <w:kern w:val="2"/>
        </w:rPr>
        <w:t>4、生活俭朴，无不良生活嗜好、习惯；</w:t>
      </w:r>
    </w:p>
    <w:p>
      <w:pPr>
        <w:pStyle w:val="13"/>
        <w:spacing w:line="360" w:lineRule="auto"/>
        <w:ind w:firstLine="480" w:firstLineChars="200"/>
        <w:rPr>
          <w:rFonts w:ascii="仿宋" w:hAnsi="仿宋" w:eastAsia="仿宋"/>
          <w:kern w:val="2"/>
        </w:rPr>
      </w:pPr>
      <w:r>
        <w:rPr>
          <w:rFonts w:hint="eastAsia" w:ascii="仿宋" w:hAnsi="仿宋" w:eastAsia="仿宋"/>
          <w:kern w:val="2"/>
        </w:rPr>
        <w:t>5、勤奋学习，积极上进,成绩无首修不及格；</w:t>
      </w:r>
    </w:p>
    <w:p>
      <w:pPr>
        <w:pStyle w:val="13"/>
        <w:spacing w:line="360" w:lineRule="auto"/>
        <w:ind w:firstLine="480" w:firstLineChars="200"/>
        <w:jc w:val="both"/>
        <w:rPr>
          <w:rFonts w:ascii="仿宋" w:hAnsi="仿宋" w:eastAsia="仿宋"/>
          <w:kern w:val="2"/>
        </w:rPr>
      </w:pPr>
      <w:r>
        <w:rPr>
          <w:rFonts w:hint="eastAsia" w:ascii="仿宋" w:hAnsi="仿宋" w:eastAsia="仿宋"/>
          <w:kern w:val="2"/>
        </w:rPr>
        <w:t>奖教金申请条件：</w:t>
      </w:r>
    </w:p>
    <w:p>
      <w:pPr>
        <w:spacing w:line="360" w:lineRule="auto"/>
        <w:ind w:firstLine="480" w:firstLineChars="200"/>
        <w:rPr>
          <w:rFonts w:ascii="仿宋" w:hAnsi="仿宋" w:eastAsia="仿宋"/>
          <w:sz w:val="24"/>
        </w:rPr>
      </w:pPr>
      <w:r>
        <w:rPr>
          <w:rFonts w:hint="eastAsia" w:ascii="仿宋" w:hAnsi="仿宋" w:eastAsia="仿宋"/>
          <w:sz w:val="24"/>
        </w:rPr>
        <w:t>1、个人品德高尚，关心集体、团结同事，遵纪守法。</w:t>
      </w:r>
    </w:p>
    <w:p>
      <w:pPr>
        <w:spacing w:line="360" w:lineRule="auto"/>
        <w:ind w:firstLine="480" w:firstLineChars="200"/>
        <w:rPr>
          <w:rFonts w:ascii="仿宋" w:hAnsi="仿宋" w:eastAsia="仿宋"/>
          <w:sz w:val="24"/>
        </w:rPr>
      </w:pPr>
      <w:r>
        <w:rPr>
          <w:rFonts w:hint="eastAsia" w:ascii="仿宋" w:hAnsi="仿宋" w:eastAsia="仿宋"/>
          <w:sz w:val="24"/>
        </w:rPr>
        <w:t>2、热爱教育工作，关爱学生</w:t>
      </w:r>
    </w:p>
    <w:p>
      <w:pPr>
        <w:spacing w:line="360" w:lineRule="auto"/>
        <w:ind w:firstLine="480" w:firstLineChars="200"/>
        <w:rPr>
          <w:rFonts w:ascii="仿宋" w:hAnsi="仿宋" w:eastAsia="仿宋"/>
          <w:sz w:val="24"/>
        </w:rPr>
      </w:pPr>
      <w:r>
        <w:rPr>
          <w:rFonts w:hint="eastAsia" w:ascii="仿宋" w:hAnsi="仿宋" w:eastAsia="仿宋"/>
          <w:sz w:val="24"/>
        </w:rPr>
        <w:t>3、在教学、科研、管理和服务工作中业绩突出。</w:t>
      </w:r>
    </w:p>
    <w:p>
      <w:pPr>
        <w:pStyle w:val="13"/>
        <w:spacing w:line="360" w:lineRule="auto"/>
        <w:ind w:firstLine="480" w:firstLineChars="200"/>
        <w:jc w:val="both"/>
        <w:rPr>
          <w:rFonts w:ascii="仿宋" w:hAnsi="仿宋" w:eastAsia="仿宋"/>
          <w:b/>
          <w:color w:val="FF0000"/>
          <w:kern w:val="2"/>
        </w:rPr>
      </w:pPr>
      <w:r>
        <w:rPr>
          <w:rFonts w:hint="eastAsia" w:ascii="仿宋" w:hAnsi="仿宋" w:eastAsia="仿宋"/>
          <w:b/>
          <w:color w:val="FF0000"/>
          <w:kern w:val="2"/>
        </w:rPr>
        <w:t>（以上为申请条件范例，具体条件以甲乙双方</w:t>
      </w:r>
      <w:r>
        <w:rPr>
          <w:rFonts w:ascii="仿宋" w:hAnsi="仿宋" w:eastAsia="仿宋"/>
          <w:b/>
          <w:color w:val="FF0000"/>
          <w:kern w:val="2"/>
        </w:rPr>
        <w:t>协商</w:t>
      </w:r>
      <w:r>
        <w:rPr>
          <w:rFonts w:hint="eastAsia" w:ascii="仿宋" w:hAnsi="仿宋" w:eastAsia="仿宋"/>
          <w:b/>
          <w:color w:val="FF0000"/>
          <w:kern w:val="2"/>
        </w:rPr>
        <w:t>确认）</w:t>
      </w:r>
    </w:p>
    <w:p>
      <w:pPr>
        <w:adjustRightInd w:val="0"/>
        <w:snapToGrid w:val="0"/>
        <w:spacing w:line="480" w:lineRule="exact"/>
        <w:ind w:firstLine="480" w:firstLineChars="200"/>
        <w:rPr>
          <w:rFonts w:ascii="仿宋" w:hAnsi="仿宋" w:eastAsia="仿宋"/>
          <w:color w:val="000000"/>
          <w:sz w:val="24"/>
        </w:rPr>
      </w:pPr>
      <w:r>
        <w:rPr>
          <w:rFonts w:hint="eastAsia" w:ascii="仿宋" w:hAnsi="仿宋" w:eastAsia="仿宋"/>
          <w:color w:val="000000"/>
          <w:sz w:val="24"/>
        </w:rPr>
        <w:t>第四条 实施办法</w:t>
      </w:r>
    </w:p>
    <w:p>
      <w:pPr>
        <w:adjustRightInd w:val="0"/>
        <w:snapToGrid w:val="0"/>
        <w:spacing w:line="480" w:lineRule="exact"/>
        <w:ind w:firstLine="480" w:firstLineChars="200"/>
        <w:rPr>
          <w:rFonts w:ascii="仿宋" w:hAnsi="仿宋" w:eastAsia="仿宋"/>
          <w:color w:val="000000"/>
          <w:sz w:val="24"/>
        </w:rPr>
      </w:pPr>
      <w:r>
        <w:rPr>
          <w:rFonts w:hint="eastAsia" w:ascii="仿宋" w:hAnsi="仿宋" w:eastAsia="仿宋"/>
          <w:color w:val="000000"/>
          <w:sz w:val="24"/>
        </w:rPr>
        <w:t>1、凡符合条件的学生、教师自愿申报、填写申请表，经院系初评后，学生分别上报学生处、研究生院审定并公示，教师由党委教师工作部审定并公示，报乙方备案。</w:t>
      </w:r>
    </w:p>
    <w:p>
      <w:pPr>
        <w:adjustRightInd w:val="0"/>
        <w:snapToGrid w:val="0"/>
        <w:spacing w:line="480" w:lineRule="exact"/>
        <w:ind w:firstLine="480" w:firstLineChars="200"/>
        <w:rPr>
          <w:rFonts w:ascii="仿宋" w:hAnsi="仿宋" w:eastAsia="仿宋"/>
          <w:color w:val="000000"/>
          <w:sz w:val="24"/>
        </w:rPr>
      </w:pPr>
      <w:r>
        <w:rPr>
          <w:rFonts w:hint="eastAsia" w:ascii="仿宋" w:hAnsi="仿宋" w:eastAsia="仿宋"/>
          <w:color w:val="000000"/>
          <w:sz w:val="24"/>
        </w:rPr>
        <w:t>2、每年3月开始评审，按照东南大学评审流程，评审于五月中旬完成，6月6日东南大学校庆日张榜公布。</w:t>
      </w:r>
    </w:p>
    <w:p>
      <w:pPr>
        <w:widowControl/>
        <w:spacing w:line="480" w:lineRule="exact"/>
        <w:ind w:firstLine="480" w:firstLineChars="200"/>
        <w:jc w:val="left"/>
        <w:rPr>
          <w:rFonts w:ascii="仿宋" w:hAnsi="仿宋" w:eastAsia="仿宋" w:cs="Arial"/>
          <w:bCs/>
          <w:color w:val="000000"/>
          <w:kern w:val="0"/>
          <w:sz w:val="24"/>
        </w:rPr>
      </w:pPr>
      <w:r>
        <w:rPr>
          <w:rFonts w:hint="eastAsia" w:ascii="仿宋" w:hAnsi="仿宋" w:eastAsia="仿宋" w:cs="Arial"/>
          <w:bCs/>
          <w:color w:val="000000"/>
          <w:kern w:val="0"/>
          <w:sz w:val="24"/>
        </w:rPr>
        <w:t>第五条  捐赠款的管理</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1、乙方代表东南大学接受甲方捐赠，并保证捐赠款专款专用。</w:t>
      </w:r>
    </w:p>
    <w:p>
      <w:pPr>
        <w:widowControl/>
        <w:spacing w:line="480" w:lineRule="exact"/>
        <w:ind w:firstLine="360" w:firstLineChars="150"/>
        <w:jc w:val="left"/>
        <w:rPr>
          <w:rFonts w:ascii="仿宋" w:hAnsi="仿宋" w:eastAsia="仿宋"/>
          <w:sz w:val="24"/>
        </w:rPr>
      </w:pPr>
      <w:r>
        <w:rPr>
          <w:rFonts w:hint="eastAsia" w:ascii="仿宋" w:hAnsi="仿宋" w:eastAsia="仿宋"/>
          <w:sz w:val="24"/>
        </w:rPr>
        <w:t xml:space="preserve"> 2</w:t>
      </w:r>
      <w:r>
        <w:rPr>
          <w:rFonts w:ascii="仿宋" w:hAnsi="仿宋" w:eastAsia="仿宋"/>
          <w:sz w:val="24"/>
        </w:rPr>
        <w:t>、为便于</w:t>
      </w:r>
      <w:r>
        <w:rPr>
          <w:rFonts w:hint="eastAsia" w:ascii="仿宋" w:hAnsi="仿宋" w:eastAsia="仿宋"/>
          <w:sz w:val="24"/>
        </w:rPr>
        <w:t>该项目</w:t>
      </w:r>
      <w:r>
        <w:rPr>
          <w:rFonts w:ascii="仿宋" w:hAnsi="仿宋" w:eastAsia="仿宋"/>
          <w:sz w:val="24"/>
        </w:rPr>
        <w:t>的顺利</w:t>
      </w:r>
      <w:r>
        <w:rPr>
          <w:rFonts w:hint="eastAsia" w:ascii="仿宋" w:hAnsi="仿宋" w:eastAsia="仿宋"/>
          <w:sz w:val="24"/>
        </w:rPr>
        <w:t>实施</w:t>
      </w:r>
      <w:r>
        <w:rPr>
          <w:rFonts w:ascii="仿宋" w:hAnsi="仿宋" w:eastAsia="仿宋"/>
          <w:sz w:val="24"/>
        </w:rPr>
        <w:t>，</w:t>
      </w:r>
      <w:r>
        <w:rPr>
          <w:rFonts w:hint="eastAsia" w:ascii="仿宋" w:hAnsi="仿宋" w:eastAsia="仿宋"/>
          <w:sz w:val="24"/>
        </w:rPr>
        <w:t>甲方应</w:t>
      </w:r>
      <w:r>
        <w:rPr>
          <w:rFonts w:ascii="仿宋" w:hAnsi="仿宋" w:eastAsia="仿宋"/>
          <w:sz w:val="24"/>
        </w:rPr>
        <w:t>于</w:t>
      </w:r>
      <w:r>
        <w:rPr>
          <w:rFonts w:hint="eastAsia" w:ascii="仿宋" w:hAnsi="仿宋" w:eastAsia="仿宋"/>
          <w:sz w:val="24"/>
        </w:rPr>
        <w:t>？年？月？日之</w:t>
      </w:r>
      <w:r>
        <w:rPr>
          <w:rFonts w:ascii="仿宋" w:hAnsi="仿宋" w:eastAsia="仿宋"/>
          <w:sz w:val="24"/>
        </w:rPr>
        <w:t>前将捐赠款</w:t>
      </w:r>
      <w:r>
        <w:rPr>
          <w:rFonts w:hint="eastAsia" w:ascii="仿宋" w:hAnsi="仿宋" w:eastAsia="仿宋"/>
          <w:sz w:val="24"/>
        </w:rPr>
        <w:t>？万元（？万元整）</w:t>
      </w:r>
      <w:r>
        <w:rPr>
          <w:rFonts w:ascii="仿宋" w:hAnsi="仿宋" w:eastAsia="仿宋"/>
          <w:sz w:val="24"/>
        </w:rPr>
        <w:t>汇入</w:t>
      </w:r>
      <w:r>
        <w:rPr>
          <w:rFonts w:hint="eastAsia" w:ascii="仿宋" w:hAnsi="仿宋" w:eastAsia="仿宋"/>
          <w:sz w:val="24"/>
        </w:rPr>
        <w:t>基金会</w:t>
      </w:r>
      <w:r>
        <w:rPr>
          <w:rFonts w:ascii="仿宋" w:hAnsi="仿宋" w:eastAsia="仿宋"/>
          <w:sz w:val="24"/>
        </w:rPr>
        <w:t>指定账户:</w:t>
      </w:r>
    </w:p>
    <w:p>
      <w:pPr>
        <w:snapToGrid w:val="0"/>
        <w:spacing w:line="480" w:lineRule="exact"/>
        <w:ind w:left="420" w:firstLine="480"/>
        <w:rPr>
          <w:rFonts w:ascii="仿宋" w:hAnsi="仿宋" w:eastAsia="仿宋"/>
          <w:b/>
          <w:sz w:val="24"/>
        </w:rPr>
      </w:pPr>
      <w:r>
        <w:rPr>
          <w:rFonts w:ascii="仿宋" w:hAnsi="仿宋" w:eastAsia="仿宋"/>
          <w:b/>
          <w:sz w:val="24"/>
        </w:rPr>
        <w:t>人民币账户</w:t>
      </w:r>
    </w:p>
    <w:p>
      <w:pPr>
        <w:pStyle w:val="13"/>
        <w:spacing w:line="360" w:lineRule="auto"/>
        <w:rPr>
          <w:rFonts w:ascii="仿宋" w:hAnsi="仿宋" w:eastAsia="仿宋"/>
          <w:kern w:val="2"/>
        </w:rPr>
      </w:pPr>
      <w:r>
        <w:rPr>
          <w:rFonts w:hint="eastAsia"/>
        </w:rPr>
        <w:t xml:space="preserve">  </w:t>
      </w:r>
      <w:r>
        <w:rPr>
          <w:rFonts w:hint="eastAsia" w:ascii="仿宋" w:hAnsi="仿宋" w:eastAsia="仿宋"/>
          <w:kern w:val="2"/>
        </w:rPr>
        <w:t xml:space="preserve">      户</w:t>
      </w:r>
      <w:r>
        <w:rPr>
          <w:rFonts w:hint="eastAsia" w:ascii="仿宋" w:hAnsi="仿宋" w:eastAsia="仿宋"/>
          <w:kern w:val="2"/>
        </w:rPr>
        <w:tab/>
      </w:r>
      <w:r>
        <w:rPr>
          <w:rFonts w:hint="eastAsia" w:ascii="仿宋" w:hAnsi="仿宋" w:eastAsia="仿宋"/>
          <w:kern w:val="2"/>
        </w:rPr>
        <w:tab/>
      </w:r>
      <w:r>
        <w:rPr>
          <w:rFonts w:hint="eastAsia" w:ascii="仿宋" w:hAnsi="仿宋" w:eastAsia="仿宋"/>
          <w:kern w:val="2"/>
        </w:rPr>
        <w:t>名：东南大学教育基金会</w:t>
      </w:r>
    </w:p>
    <w:p>
      <w:pPr>
        <w:pStyle w:val="13"/>
        <w:spacing w:line="360" w:lineRule="auto"/>
        <w:ind w:firstLine="480" w:firstLineChars="200"/>
        <w:rPr>
          <w:rFonts w:ascii="仿宋" w:hAnsi="仿宋" w:eastAsia="仿宋"/>
          <w:kern w:val="2"/>
        </w:rPr>
      </w:pPr>
      <w:r>
        <w:rPr>
          <w:rFonts w:hint="eastAsia" w:ascii="仿宋" w:hAnsi="仿宋" w:eastAsia="仿宋"/>
          <w:kern w:val="2"/>
        </w:rPr>
        <w:t xml:space="preserve">    开户银行：建设银行南京四牌楼支行</w:t>
      </w:r>
    </w:p>
    <w:p>
      <w:pPr>
        <w:pStyle w:val="13"/>
        <w:spacing w:line="360" w:lineRule="auto"/>
        <w:ind w:firstLine="480" w:firstLineChars="200"/>
        <w:rPr>
          <w:rFonts w:ascii="仿宋" w:hAnsi="仿宋" w:eastAsia="仿宋"/>
          <w:kern w:val="2"/>
        </w:rPr>
      </w:pPr>
      <w:r>
        <w:rPr>
          <w:rFonts w:hint="eastAsia" w:ascii="仿宋" w:hAnsi="仿宋" w:eastAsia="仿宋"/>
          <w:kern w:val="2"/>
        </w:rPr>
        <w:t xml:space="preserve">    账</w:t>
      </w:r>
      <w:r>
        <w:rPr>
          <w:rFonts w:hint="eastAsia" w:ascii="仿宋" w:hAnsi="仿宋" w:eastAsia="仿宋"/>
          <w:kern w:val="2"/>
        </w:rPr>
        <w:tab/>
      </w:r>
      <w:r>
        <w:rPr>
          <w:rFonts w:hint="eastAsia" w:ascii="仿宋" w:hAnsi="仿宋" w:eastAsia="仿宋"/>
          <w:kern w:val="2"/>
        </w:rPr>
        <w:tab/>
      </w:r>
      <w:r>
        <w:rPr>
          <w:rFonts w:hint="eastAsia" w:ascii="仿宋" w:hAnsi="仿宋" w:eastAsia="仿宋"/>
          <w:kern w:val="2"/>
        </w:rPr>
        <w:t>号：3200 1594 1380 5250 1411</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3、乙方</w:t>
      </w:r>
      <w:r>
        <w:rPr>
          <w:rFonts w:ascii="仿宋" w:hAnsi="仿宋" w:eastAsia="仿宋"/>
          <w:sz w:val="24"/>
        </w:rPr>
        <w:t>在收到款项的</w:t>
      </w:r>
      <w:r>
        <w:rPr>
          <w:rFonts w:hint="eastAsia" w:ascii="仿宋" w:hAnsi="仿宋" w:eastAsia="仿宋"/>
          <w:sz w:val="24"/>
        </w:rPr>
        <w:t>7</w:t>
      </w:r>
      <w:r>
        <w:rPr>
          <w:rFonts w:ascii="仿宋" w:hAnsi="仿宋" w:eastAsia="仿宋"/>
          <w:sz w:val="24"/>
        </w:rPr>
        <w:t>个工作日内，向</w:t>
      </w:r>
      <w:r>
        <w:rPr>
          <w:rFonts w:hint="eastAsia" w:ascii="仿宋" w:hAnsi="仿宋" w:eastAsia="仿宋"/>
          <w:sz w:val="24"/>
        </w:rPr>
        <w:t>甲方</w:t>
      </w:r>
      <w:r>
        <w:rPr>
          <w:rFonts w:ascii="仿宋" w:hAnsi="仿宋" w:eastAsia="仿宋"/>
          <w:sz w:val="24"/>
        </w:rPr>
        <w:t>出具</w:t>
      </w:r>
      <w:r>
        <w:rPr>
          <w:rFonts w:hint="eastAsia" w:ascii="仿宋" w:hAnsi="仿宋" w:eastAsia="仿宋"/>
          <w:sz w:val="24"/>
        </w:rPr>
        <w:t>江苏省捐赠专用收据。</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第六条  双方权利与义务</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1、本捐赠为公益慈善行为，协议成立后，受法律保护。非因乙方原因导致协议无法履行，甲方不得撤销或者以任何其他理由单方面终止本协议项下的捐赠承诺。</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2、乙方依据本协议约定用途合理使用捐赠财产，不得擅自改变捐赠财产的用途。如果确需改变用途的，应当征得甲方的同意，并签订有关变更使用协议。</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3、甲方有权依据协议相关规定对本捐赠款是否用于本协议约定用途进行合理的征询、监督，乙方应对此如实回馈、积极配合。</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4、本协议自签订之日起生效；任何一方如在有效期内修改或终止协议，需经协议双方协商一致达成新的协议后方可实施。</w:t>
      </w:r>
    </w:p>
    <w:p>
      <w:pPr>
        <w:widowControl/>
        <w:spacing w:line="480" w:lineRule="exact"/>
        <w:ind w:left="210" w:leftChars="100" w:firstLine="240" w:firstLineChars="100"/>
        <w:jc w:val="left"/>
        <w:rPr>
          <w:rFonts w:ascii="仿宋" w:hAnsi="仿宋" w:eastAsia="仿宋"/>
          <w:sz w:val="24"/>
        </w:rPr>
      </w:pPr>
      <w:r>
        <w:rPr>
          <w:rFonts w:hint="eastAsia" w:ascii="仿宋" w:hAnsi="仿宋" w:eastAsia="仿宋"/>
          <w:sz w:val="24"/>
        </w:rPr>
        <w:t>第七条  本协议一式四份，双方各执两份，经双方签字盖章后生效，有效期至</w:t>
      </w:r>
      <w:r>
        <w:rPr>
          <w:rFonts w:ascii="仿宋" w:hAnsi="仿宋" w:eastAsia="仿宋"/>
          <w:sz w:val="24"/>
        </w:rPr>
        <w:t xml:space="preserve">  </w:t>
      </w:r>
      <w:r>
        <w:rPr>
          <w:rFonts w:hint="eastAsia" w:ascii="仿宋" w:hAnsi="仿宋" w:eastAsia="仿宋"/>
          <w:sz w:val="24"/>
        </w:rPr>
        <w:t>年</w:t>
      </w:r>
      <w:r>
        <w:rPr>
          <w:rFonts w:ascii="仿宋" w:hAnsi="仿宋" w:eastAsia="仿宋"/>
          <w:sz w:val="24"/>
        </w:rPr>
        <w:t xml:space="preserve">  </w:t>
      </w:r>
      <w:r>
        <w:rPr>
          <w:rFonts w:hint="eastAsia" w:ascii="仿宋" w:hAnsi="仿宋" w:eastAsia="仿宋"/>
          <w:sz w:val="24"/>
        </w:rPr>
        <w:t>月</w:t>
      </w:r>
      <w:r>
        <w:rPr>
          <w:rFonts w:ascii="仿宋" w:hAnsi="仿宋" w:eastAsia="仿宋"/>
          <w:sz w:val="24"/>
        </w:rPr>
        <w:t xml:space="preserve">  </w:t>
      </w:r>
      <w:r>
        <w:rPr>
          <w:rFonts w:hint="eastAsia" w:ascii="仿宋" w:hAnsi="仿宋" w:eastAsia="仿宋"/>
          <w:sz w:val="24"/>
        </w:rPr>
        <w:t xml:space="preserve">日。 </w:t>
      </w:r>
    </w:p>
    <w:p>
      <w:pPr>
        <w:widowControl/>
        <w:spacing w:line="480" w:lineRule="exact"/>
        <w:ind w:firstLine="480" w:firstLineChars="200"/>
        <w:jc w:val="left"/>
        <w:rPr>
          <w:rFonts w:ascii="仿宋" w:hAnsi="仿宋" w:eastAsia="仿宋"/>
          <w:sz w:val="24"/>
        </w:rPr>
      </w:pPr>
      <w:r>
        <w:rPr>
          <w:rFonts w:hint="eastAsia" w:ascii="仿宋" w:hAnsi="仿宋" w:eastAsia="仿宋"/>
          <w:sz w:val="24"/>
        </w:rPr>
        <w:t>第八条  本协议未尽事宜，由双方以实现协议目的为宗旨，共同协商确定。</w:t>
      </w:r>
    </w:p>
    <w:p>
      <w:pPr>
        <w:widowControl/>
        <w:spacing w:line="480" w:lineRule="exact"/>
        <w:jc w:val="left"/>
        <w:rPr>
          <w:rFonts w:ascii="仿宋" w:hAnsi="仿宋" w:eastAsia="仿宋"/>
          <w:sz w:val="24"/>
        </w:rPr>
      </w:pPr>
    </w:p>
    <w:p>
      <w:pPr>
        <w:spacing w:line="480" w:lineRule="exact"/>
        <w:rPr>
          <w:rFonts w:ascii="仿宋" w:hAnsi="仿宋" w:eastAsia="仿宋"/>
          <w:color w:val="000000"/>
          <w:sz w:val="24"/>
        </w:rPr>
      </w:pPr>
      <w:r>
        <w:rPr>
          <w:rFonts w:hint="eastAsia" w:ascii="仿宋" w:hAnsi="仿宋" w:eastAsia="仿宋"/>
          <w:color w:val="000000"/>
          <w:sz w:val="24"/>
        </w:rPr>
        <w:t>------------------------------（以下无正文）------------------------------</w:t>
      </w:r>
    </w:p>
    <w:p>
      <w:pPr>
        <w:spacing w:line="480" w:lineRule="exact"/>
        <w:rPr>
          <w:rFonts w:ascii="仿宋" w:hAnsi="仿宋" w:eastAsia="仿宋"/>
          <w:color w:val="000000"/>
          <w:sz w:val="24"/>
        </w:rPr>
      </w:pPr>
    </w:p>
    <w:p>
      <w:pPr>
        <w:spacing w:line="480" w:lineRule="exact"/>
        <w:rPr>
          <w:rFonts w:ascii="仿宋" w:hAnsi="仿宋" w:eastAsia="仿宋"/>
          <w:color w:val="000000"/>
          <w:sz w:val="24"/>
        </w:rPr>
      </w:pPr>
    </w:p>
    <w:p>
      <w:pPr>
        <w:spacing w:line="480" w:lineRule="exact"/>
        <w:rPr>
          <w:rFonts w:ascii="仿宋" w:hAnsi="仿宋" w:eastAsia="仿宋"/>
          <w:color w:val="FF0000"/>
          <w:sz w:val="24"/>
        </w:rPr>
      </w:pPr>
    </w:p>
    <w:p>
      <w:pPr>
        <w:adjustRightInd w:val="0"/>
        <w:snapToGrid w:val="0"/>
        <w:spacing w:line="480" w:lineRule="exact"/>
        <w:rPr>
          <w:rFonts w:ascii="仿宋" w:hAnsi="仿宋" w:eastAsia="仿宋"/>
          <w:color w:val="000000"/>
          <w:sz w:val="24"/>
        </w:rPr>
      </w:pPr>
      <w:r>
        <w:rPr>
          <w:rFonts w:hint="eastAsia" w:ascii="仿宋" w:hAnsi="仿宋" w:eastAsia="仿宋"/>
          <w:color w:val="000000"/>
          <w:sz w:val="24"/>
        </w:rPr>
        <w:t>甲方：</w:t>
      </w:r>
      <w:r>
        <w:rPr>
          <w:rFonts w:ascii="仿宋" w:hAnsi="仿宋" w:eastAsia="仿宋"/>
          <w:color w:val="000000"/>
          <w:sz w:val="24"/>
        </w:rPr>
        <w:t xml:space="preserve">                                      </w:t>
      </w:r>
      <w:r>
        <w:rPr>
          <w:rFonts w:hint="eastAsia" w:ascii="仿宋" w:hAnsi="仿宋" w:eastAsia="仿宋"/>
          <w:color w:val="000000"/>
          <w:sz w:val="24"/>
        </w:rPr>
        <w:t>乙方：</w:t>
      </w:r>
      <w:r>
        <w:rPr>
          <w:rFonts w:ascii="仿宋" w:hAnsi="仿宋" w:eastAsia="仿宋"/>
          <w:color w:val="000000"/>
          <w:sz w:val="24"/>
        </w:rPr>
        <w:t xml:space="preserve"> </w:t>
      </w:r>
      <w:r>
        <w:rPr>
          <w:rFonts w:hint="eastAsia" w:ascii="仿宋" w:hAnsi="仿宋" w:eastAsia="仿宋"/>
          <w:color w:val="000000"/>
          <w:sz w:val="24"/>
        </w:rPr>
        <w:t>东南大学教育基金会</w:t>
      </w:r>
    </w:p>
    <w:p>
      <w:pPr>
        <w:spacing w:line="480" w:lineRule="exact"/>
        <w:rPr>
          <w:rFonts w:ascii="仿宋" w:hAnsi="仿宋" w:eastAsia="仿宋"/>
          <w:color w:val="000000"/>
          <w:sz w:val="24"/>
        </w:rPr>
      </w:pPr>
      <w:r>
        <w:rPr>
          <w:rFonts w:hint="eastAsia" w:ascii="仿宋" w:hAnsi="仿宋" w:eastAsia="仿宋"/>
          <w:color w:val="000000"/>
          <w:sz w:val="24"/>
        </w:rPr>
        <w:t>（盖章）                                    （盖章）</w:t>
      </w:r>
    </w:p>
    <w:p>
      <w:pPr>
        <w:spacing w:line="480" w:lineRule="exact"/>
        <w:rPr>
          <w:rFonts w:ascii="仿宋" w:hAnsi="仿宋" w:eastAsia="仿宋"/>
          <w:color w:val="000000"/>
          <w:sz w:val="24"/>
        </w:rPr>
      </w:pPr>
    </w:p>
    <w:p>
      <w:pPr>
        <w:spacing w:line="480" w:lineRule="exact"/>
        <w:rPr>
          <w:rFonts w:ascii="仿宋" w:hAnsi="仿宋" w:eastAsia="仿宋"/>
          <w:color w:val="000000"/>
          <w:sz w:val="24"/>
        </w:rPr>
      </w:pPr>
      <w:r>
        <w:rPr>
          <w:rFonts w:hint="eastAsia" w:ascii="仿宋" w:hAnsi="仿宋" w:eastAsia="仿宋"/>
          <w:color w:val="000000"/>
          <w:sz w:val="24"/>
        </w:rPr>
        <w:t>代表：（签字）</w:t>
      </w:r>
      <w:r>
        <w:rPr>
          <w:rFonts w:ascii="仿宋" w:hAnsi="仿宋" w:eastAsia="仿宋"/>
          <w:color w:val="000000"/>
          <w:sz w:val="24"/>
        </w:rPr>
        <w:t xml:space="preserve">                               </w:t>
      </w:r>
      <w:r>
        <w:rPr>
          <w:rFonts w:hint="eastAsia" w:ascii="仿宋" w:hAnsi="仿宋" w:eastAsia="仿宋"/>
          <w:color w:val="000000"/>
          <w:sz w:val="24"/>
        </w:rPr>
        <w:t>代表：（签字）</w:t>
      </w:r>
    </w:p>
    <w:p>
      <w:pPr>
        <w:spacing w:line="480" w:lineRule="exact"/>
        <w:jc w:val="left"/>
        <w:rPr>
          <w:rFonts w:ascii="仿宋" w:hAnsi="仿宋" w:eastAsia="仿宋"/>
          <w:color w:val="000000"/>
          <w:sz w:val="24"/>
        </w:rPr>
      </w:pPr>
    </w:p>
    <w:p>
      <w:pPr>
        <w:spacing w:line="480" w:lineRule="exact"/>
        <w:jc w:val="left"/>
        <w:rPr>
          <w:rFonts w:ascii="仿宋" w:hAnsi="仿宋" w:eastAsia="仿宋"/>
          <w:color w:val="000000"/>
          <w:sz w:val="24"/>
        </w:rPr>
      </w:pPr>
      <w:r>
        <w:rPr>
          <w:rFonts w:hint="eastAsia" w:ascii="仿宋" w:hAnsi="仿宋" w:eastAsia="仿宋"/>
          <w:color w:val="000000"/>
          <w:sz w:val="24"/>
        </w:rPr>
        <w:t>签订日期：</w:t>
      </w:r>
      <w:r>
        <w:rPr>
          <w:rFonts w:ascii="仿宋" w:hAnsi="仿宋" w:eastAsia="仿宋"/>
          <w:color w:val="000000"/>
          <w:sz w:val="24"/>
        </w:rPr>
        <w:t xml:space="preserve">   </w:t>
      </w:r>
      <w:r>
        <w:rPr>
          <w:rFonts w:hint="eastAsia" w:ascii="仿宋" w:hAnsi="仿宋" w:eastAsia="仿宋"/>
          <w:color w:val="000000"/>
          <w:sz w:val="24"/>
        </w:rPr>
        <w:t xml:space="preserve">年   月   日               </w:t>
      </w:r>
      <w:r>
        <w:rPr>
          <w:rFonts w:ascii="仿宋" w:hAnsi="仿宋" w:eastAsia="仿宋"/>
          <w:color w:val="000000"/>
          <w:sz w:val="24"/>
        </w:rPr>
        <w:t xml:space="preserve"> </w:t>
      </w:r>
      <w:r>
        <w:rPr>
          <w:rFonts w:hint="eastAsia" w:ascii="仿宋" w:hAnsi="仿宋" w:eastAsia="仿宋"/>
          <w:color w:val="000000"/>
          <w:sz w:val="24"/>
        </w:rPr>
        <w:t xml:space="preserve">   签订日期：</w:t>
      </w:r>
      <w:r>
        <w:rPr>
          <w:rFonts w:ascii="仿宋" w:hAnsi="仿宋" w:eastAsia="仿宋"/>
          <w:color w:val="000000"/>
          <w:sz w:val="24"/>
        </w:rPr>
        <w:t xml:space="preserve">   </w:t>
      </w:r>
      <w:r>
        <w:rPr>
          <w:rFonts w:hint="eastAsia" w:ascii="仿宋" w:hAnsi="仿宋" w:eastAsia="仿宋"/>
          <w:color w:val="000000"/>
          <w:sz w:val="24"/>
        </w:rPr>
        <w:t>年    月    日</w:t>
      </w:r>
    </w:p>
    <w:sectPr>
      <w:headerReference r:id="rId3" w:type="default"/>
      <w:footerReference r:id="rId4" w:type="default"/>
      <w:footerReference r:id="rId5" w:type="even"/>
      <w:pgSz w:w="11906" w:h="16838"/>
      <w:pgMar w:top="1418" w:right="1418" w:bottom="269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PMingLiU">
    <w:panose1 w:val="02020500000000000000"/>
    <w:charset w:val="88"/>
    <w:family w:val="roma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Fonts w:hint="eastAsia"/>
      </w:rPr>
      <w:t>编号：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D2"/>
    <w:rsid w:val="00004DC1"/>
    <w:rsid w:val="0000767F"/>
    <w:rsid w:val="000138B7"/>
    <w:rsid w:val="00016EE0"/>
    <w:rsid w:val="00025DDE"/>
    <w:rsid w:val="000263EC"/>
    <w:rsid w:val="00030A4A"/>
    <w:rsid w:val="00034B19"/>
    <w:rsid w:val="0003578F"/>
    <w:rsid w:val="0005673E"/>
    <w:rsid w:val="00056B96"/>
    <w:rsid w:val="00066284"/>
    <w:rsid w:val="00072DE0"/>
    <w:rsid w:val="00076BC9"/>
    <w:rsid w:val="00096E26"/>
    <w:rsid w:val="000A47F1"/>
    <w:rsid w:val="000B4CDF"/>
    <w:rsid w:val="000B5E0D"/>
    <w:rsid w:val="000B7061"/>
    <w:rsid w:val="000C4D31"/>
    <w:rsid w:val="000F7459"/>
    <w:rsid w:val="000F7B0C"/>
    <w:rsid w:val="00103F60"/>
    <w:rsid w:val="00106381"/>
    <w:rsid w:val="001105A8"/>
    <w:rsid w:val="0011746B"/>
    <w:rsid w:val="00124CCA"/>
    <w:rsid w:val="00125A50"/>
    <w:rsid w:val="00133A2B"/>
    <w:rsid w:val="001445BB"/>
    <w:rsid w:val="00145E86"/>
    <w:rsid w:val="00156FB7"/>
    <w:rsid w:val="00161508"/>
    <w:rsid w:val="00164E60"/>
    <w:rsid w:val="001715FB"/>
    <w:rsid w:val="00182F87"/>
    <w:rsid w:val="0019694A"/>
    <w:rsid w:val="001A1B1E"/>
    <w:rsid w:val="001A27A6"/>
    <w:rsid w:val="001E5C4C"/>
    <w:rsid w:val="001E7FA5"/>
    <w:rsid w:val="0020106E"/>
    <w:rsid w:val="0020305E"/>
    <w:rsid w:val="00205106"/>
    <w:rsid w:val="00210C01"/>
    <w:rsid w:val="002113FD"/>
    <w:rsid w:val="00211919"/>
    <w:rsid w:val="00215295"/>
    <w:rsid w:val="00225277"/>
    <w:rsid w:val="00230B38"/>
    <w:rsid w:val="00237411"/>
    <w:rsid w:val="002544F8"/>
    <w:rsid w:val="0026318B"/>
    <w:rsid w:val="0026360B"/>
    <w:rsid w:val="0028165B"/>
    <w:rsid w:val="00284A36"/>
    <w:rsid w:val="0028716B"/>
    <w:rsid w:val="0029166D"/>
    <w:rsid w:val="002953A9"/>
    <w:rsid w:val="00297C8F"/>
    <w:rsid w:val="002A20C4"/>
    <w:rsid w:val="002D5259"/>
    <w:rsid w:val="002F6412"/>
    <w:rsid w:val="0030290E"/>
    <w:rsid w:val="00320ED2"/>
    <w:rsid w:val="003278AF"/>
    <w:rsid w:val="00336DAD"/>
    <w:rsid w:val="003511F9"/>
    <w:rsid w:val="00352D09"/>
    <w:rsid w:val="0036531B"/>
    <w:rsid w:val="00370B19"/>
    <w:rsid w:val="00374D1C"/>
    <w:rsid w:val="00377490"/>
    <w:rsid w:val="00385FB0"/>
    <w:rsid w:val="003A06C7"/>
    <w:rsid w:val="003A7E8D"/>
    <w:rsid w:val="003C701B"/>
    <w:rsid w:val="003D3910"/>
    <w:rsid w:val="003E3FC6"/>
    <w:rsid w:val="003E5EA5"/>
    <w:rsid w:val="003F0DEE"/>
    <w:rsid w:val="003F29E7"/>
    <w:rsid w:val="00402B00"/>
    <w:rsid w:val="004123AA"/>
    <w:rsid w:val="00420F75"/>
    <w:rsid w:val="00431552"/>
    <w:rsid w:val="00434239"/>
    <w:rsid w:val="00435656"/>
    <w:rsid w:val="00440C48"/>
    <w:rsid w:val="00451D0C"/>
    <w:rsid w:val="00451FFF"/>
    <w:rsid w:val="00471594"/>
    <w:rsid w:val="00473C23"/>
    <w:rsid w:val="00473D40"/>
    <w:rsid w:val="00486B8E"/>
    <w:rsid w:val="004B4B7A"/>
    <w:rsid w:val="004C6C03"/>
    <w:rsid w:val="004C720F"/>
    <w:rsid w:val="004E710A"/>
    <w:rsid w:val="004F1D64"/>
    <w:rsid w:val="004F4BE9"/>
    <w:rsid w:val="00507A77"/>
    <w:rsid w:val="005166B0"/>
    <w:rsid w:val="00520E61"/>
    <w:rsid w:val="00521DF2"/>
    <w:rsid w:val="00526501"/>
    <w:rsid w:val="00527514"/>
    <w:rsid w:val="00537709"/>
    <w:rsid w:val="005431CA"/>
    <w:rsid w:val="005474F3"/>
    <w:rsid w:val="00552649"/>
    <w:rsid w:val="0057564F"/>
    <w:rsid w:val="00576FE1"/>
    <w:rsid w:val="00584EA3"/>
    <w:rsid w:val="00587299"/>
    <w:rsid w:val="0059737C"/>
    <w:rsid w:val="005B1533"/>
    <w:rsid w:val="005C6A2E"/>
    <w:rsid w:val="005D55F7"/>
    <w:rsid w:val="005D7614"/>
    <w:rsid w:val="005E2103"/>
    <w:rsid w:val="00601AC6"/>
    <w:rsid w:val="00601FDA"/>
    <w:rsid w:val="00615678"/>
    <w:rsid w:val="00627A9A"/>
    <w:rsid w:val="00631419"/>
    <w:rsid w:val="00640EDE"/>
    <w:rsid w:val="006463D2"/>
    <w:rsid w:val="006544F9"/>
    <w:rsid w:val="00655815"/>
    <w:rsid w:val="006639B3"/>
    <w:rsid w:val="0066514E"/>
    <w:rsid w:val="00671744"/>
    <w:rsid w:val="00671BD2"/>
    <w:rsid w:val="006C1781"/>
    <w:rsid w:val="006C45A4"/>
    <w:rsid w:val="006C5608"/>
    <w:rsid w:val="006C6FA5"/>
    <w:rsid w:val="006E77F4"/>
    <w:rsid w:val="006F5EC3"/>
    <w:rsid w:val="007030C2"/>
    <w:rsid w:val="007054A1"/>
    <w:rsid w:val="0073311B"/>
    <w:rsid w:val="007846CF"/>
    <w:rsid w:val="0079772D"/>
    <w:rsid w:val="007A0EB5"/>
    <w:rsid w:val="007B275F"/>
    <w:rsid w:val="007B6B3B"/>
    <w:rsid w:val="007C4087"/>
    <w:rsid w:val="007D0047"/>
    <w:rsid w:val="007E3873"/>
    <w:rsid w:val="00815058"/>
    <w:rsid w:val="00820EB5"/>
    <w:rsid w:val="00821DE5"/>
    <w:rsid w:val="0082544A"/>
    <w:rsid w:val="00830375"/>
    <w:rsid w:val="008303D7"/>
    <w:rsid w:val="00843DB7"/>
    <w:rsid w:val="008461B0"/>
    <w:rsid w:val="00861D40"/>
    <w:rsid w:val="00862B72"/>
    <w:rsid w:val="00865379"/>
    <w:rsid w:val="00876768"/>
    <w:rsid w:val="00881F05"/>
    <w:rsid w:val="008900BF"/>
    <w:rsid w:val="008A4F14"/>
    <w:rsid w:val="008B14B2"/>
    <w:rsid w:val="008C0CE5"/>
    <w:rsid w:val="008F0B0A"/>
    <w:rsid w:val="008F6EA8"/>
    <w:rsid w:val="00906BF2"/>
    <w:rsid w:val="009115E2"/>
    <w:rsid w:val="00912253"/>
    <w:rsid w:val="00912665"/>
    <w:rsid w:val="00925D50"/>
    <w:rsid w:val="0092673D"/>
    <w:rsid w:val="00926E8E"/>
    <w:rsid w:val="00931816"/>
    <w:rsid w:val="00933718"/>
    <w:rsid w:val="00945016"/>
    <w:rsid w:val="009471FA"/>
    <w:rsid w:val="009475EF"/>
    <w:rsid w:val="00954E10"/>
    <w:rsid w:val="009749A8"/>
    <w:rsid w:val="0098273D"/>
    <w:rsid w:val="009901B3"/>
    <w:rsid w:val="00990EB7"/>
    <w:rsid w:val="009934B7"/>
    <w:rsid w:val="00995523"/>
    <w:rsid w:val="009961C5"/>
    <w:rsid w:val="009A51FF"/>
    <w:rsid w:val="009C3A58"/>
    <w:rsid w:val="009E0016"/>
    <w:rsid w:val="009E6442"/>
    <w:rsid w:val="00A03658"/>
    <w:rsid w:val="00A05E09"/>
    <w:rsid w:val="00A11FA4"/>
    <w:rsid w:val="00A22FC7"/>
    <w:rsid w:val="00A23696"/>
    <w:rsid w:val="00A27BA7"/>
    <w:rsid w:val="00A33C58"/>
    <w:rsid w:val="00A37E61"/>
    <w:rsid w:val="00A80B5F"/>
    <w:rsid w:val="00A82492"/>
    <w:rsid w:val="00A863AB"/>
    <w:rsid w:val="00A90012"/>
    <w:rsid w:val="00A96237"/>
    <w:rsid w:val="00AA5F20"/>
    <w:rsid w:val="00AB6DCE"/>
    <w:rsid w:val="00AB7F7B"/>
    <w:rsid w:val="00AC4183"/>
    <w:rsid w:val="00AC4A16"/>
    <w:rsid w:val="00AD04EB"/>
    <w:rsid w:val="00AD2FBA"/>
    <w:rsid w:val="00AF3505"/>
    <w:rsid w:val="00B00C41"/>
    <w:rsid w:val="00B00F99"/>
    <w:rsid w:val="00B01331"/>
    <w:rsid w:val="00B050C9"/>
    <w:rsid w:val="00B2267D"/>
    <w:rsid w:val="00B269C6"/>
    <w:rsid w:val="00B27012"/>
    <w:rsid w:val="00B31E07"/>
    <w:rsid w:val="00B368E1"/>
    <w:rsid w:val="00B445E4"/>
    <w:rsid w:val="00B6090E"/>
    <w:rsid w:val="00B6242B"/>
    <w:rsid w:val="00B7060C"/>
    <w:rsid w:val="00B801B1"/>
    <w:rsid w:val="00B82EDC"/>
    <w:rsid w:val="00BA2158"/>
    <w:rsid w:val="00BB4C4A"/>
    <w:rsid w:val="00BD51E0"/>
    <w:rsid w:val="00BE014B"/>
    <w:rsid w:val="00BF02AA"/>
    <w:rsid w:val="00BF0CEC"/>
    <w:rsid w:val="00BF50C0"/>
    <w:rsid w:val="00BF6979"/>
    <w:rsid w:val="00BF7228"/>
    <w:rsid w:val="00C1475B"/>
    <w:rsid w:val="00C14EDE"/>
    <w:rsid w:val="00C16554"/>
    <w:rsid w:val="00C20443"/>
    <w:rsid w:val="00C23C51"/>
    <w:rsid w:val="00C30242"/>
    <w:rsid w:val="00C35664"/>
    <w:rsid w:val="00C40ECE"/>
    <w:rsid w:val="00C457E9"/>
    <w:rsid w:val="00C50363"/>
    <w:rsid w:val="00C5046B"/>
    <w:rsid w:val="00C579E0"/>
    <w:rsid w:val="00C6655D"/>
    <w:rsid w:val="00C71245"/>
    <w:rsid w:val="00C7129D"/>
    <w:rsid w:val="00C730A8"/>
    <w:rsid w:val="00C92BBC"/>
    <w:rsid w:val="00CC6695"/>
    <w:rsid w:val="00CC7DB2"/>
    <w:rsid w:val="00CF04C5"/>
    <w:rsid w:val="00CF6D61"/>
    <w:rsid w:val="00D12332"/>
    <w:rsid w:val="00D15531"/>
    <w:rsid w:val="00D351B3"/>
    <w:rsid w:val="00D378DC"/>
    <w:rsid w:val="00D707F0"/>
    <w:rsid w:val="00D76909"/>
    <w:rsid w:val="00D90628"/>
    <w:rsid w:val="00D91827"/>
    <w:rsid w:val="00D93D91"/>
    <w:rsid w:val="00D94421"/>
    <w:rsid w:val="00D965FF"/>
    <w:rsid w:val="00DC0CC1"/>
    <w:rsid w:val="00DC44CD"/>
    <w:rsid w:val="00DD2615"/>
    <w:rsid w:val="00DD3945"/>
    <w:rsid w:val="00DD4F9F"/>
    <w:rsid w:val="00DE4956"/>
    <w:rsid w:val="00DE65F7"/>
    <w:rsid w:val="00DF0954"/>
    <w:rsid w:val="00E072E3"/>
    <w:rsid w:val="00E1070F"/>
    <w:rsid w:val="00E10A08"/>
    <w:rsid w:val="00E15DC8"/>
    <w:rsid w:val="00E169F8"/>
    <w:rsid w:val="00E3251F"/>
    <w:rsid w:val="00E36DBB"/>
    <w:rsid w:val="00E4485D"/>
    <w:rsid w:val="00E44DFF"/>
    <w:rsid w:val="00E50C96"/>
    <w:rsid w:val="00E55F0E"/>
    <w:rsid w:val="00E57490"/>
    <w:rsid w:val="00E57DB4"/>
    <w:rsid w:val="00E61E11"/>
    <w:rsid w:val="00E83D9C"/>
    <w:rsid w:val="00E83F4C"/>
    <w:rsid w:val="00E913D1"/>
    <w:rsid w:val="00E97804"/>
    <w:rsid w:val="00EA6101"/>
    <w:rsid w:val="00EA6F6F"/>
    <w:rsid w:val="00EC796F"/>
    <w:rsid w:val="00ED086A"/>
    <w:rsid w:val="00EE7143"/>
    <w:rsid w:val="00EE78D7"/>
    <w:rsid w:val="00EF5B44"/>
    <w:rsid w:val="00F00D41"/>
    <w:rsid w:val="00F13EEF"/>
    <w:rsid w:val="00F20323"/>
    <w:rsid w:val="00F320CB"/>
    <w:rsid w:val="00F346C4"/>
    <w:rsid w:val="00F37613"/>
    <w:rsid w:val="00F41A77"/>
    <w:rsid w:val="00F42E89"/>
    <w:rsid w:val="00F43BDD"/>
    <w:rsid w:val="00F5447F"/>
    <w:rsid w:val="00F74366"/>
    <w:rsid w:val="00F75619"/>
    <w:rsid w:val="00F92F27"/>
    <w:rsid w:val="00F94504"/>
    <w:rsid w:val="00FA025B"/>
    <w:rsid w:val="00FA507B"/>
    <w:rsid w:val="00FA7742"/>
    <w:rsid w:val="00FC1AA6"/>
    <w:rsid w:val="00FC23B0"/>
    <w:rsid w:val="00FC6920"/>
    <w:rsid w:val="00FD012D"/>
    <w:rsid w:val="00FD2D20"/>
    <w:rsid w:val="00FD5640"/>
    <w:rsid w:val="00FF50A3"/>
    <w:rsid w:val="61AD6A8E"/>
    <w:rsid w:val="6A5C57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6"/>
    <w:semiHidden/>
    <w:unhideWhenUsed/>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0"/>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uiPriority w:val="99"/>
    <w:rPr>
      <w:b/>
      <w:bCs/>
    </w:rPr>
  </w:style>
  <w:style w:type="character" w:styleId="9">
    <w:name w:val="page number"/>
    <w:basedOn w:val="8"/>
    <w:qFormat/>
    <w:uiPriority w:val="0"/>
  </w:style>
  <w:style w:type="character" w:styleId="10">
    <w:name w:val="annotation reference"/>
    <w:basedOn w:val="8"/>
    <w:semiHidden/>
    <w:unhideWhenUsed/>
    <w:uiPriority w:val="99"/>
    <w:rPr>
      <w:sz w:val="21"/>
      <w:szCs w:val="21"/>
    </w:rPr>
  </w:style>
  <w:style w:type="character" w:customStyle="1" w:styleId="11">
    <w:name w:val="页眉 Char"/>
    <w:basedOn w:val="8"/>
    <w:link w:val="5"/>
    <w:uiPriority w:val="99"/>
    <w:rPr>
      <w:sz w:val="18"/>
      <w:szCs w:val="18"/>
    </w:rPr>
  </w:style>
  <w:style w:type="character" w:customStyle="1" w:styleId="12">
    <w:name w:val="页脚 Char"/>
    <w:basedOn w:val="8"/>
    <w:link w:val="4"/>
    <w:semiHidden/>
    <w:uiPriority w:val="99"/>
    <w:rPr>
      <w:sz w:val="18"/>
      <w:szCs w:val="18"/>
    </w:rPr>
  </w:style>
  <w:style w:type="paragraph" w:customStyle="1" w:styleId="13">
    <w:name w:val="缺省文本"/>
    <w:basedOn w:val="1"/>
    <w:uiPriority w:val="0"/>
    <w:pPr>
      <w:autoSpaceDE w:val="0"/>
      <w:autoSpaceDN w:val="0"/>
      <w:adjustRightInd w:val="0"/>
      <w:jc w:val="left"/>
    </w:pPr>
    <w:rPr>
      <w:kern w:val="0"/>
      <w:sz w:val="24"/>
    </w:rPr>
  </w:style>
  <w:style w:type="paragraph" w:styleId="14">
    <w:name w:val="List Paragraph"/>
    <w:basedOn w:val="1"/>
    <w:qFormat/>
    <w:uiPriority w:val="34"/>
    <w:pPr>
      <w:ind w:firstLine="420" w:firstLineChars="200"/>
    </w:pPr>
  </w:style>
  <w:style w:type="character" w:customStyle="1" w:styleId="15">
    <w:name w:val="批注框文本 Char"/>
    <w:basedOn w:val="8"/>
    <w:link w:val="3"/>
    <w:semiHidden/>
    <w:uiPriority w:val="99"/>
    <w:rPr>
      <w:rFonts w:ascii="Times New Roman" w:hAnsi="Times New Roman" w:eastAsia="宋体" w:cs="Times New Roman"/>
      <w:sz w:val="18"/>
      <w:szCs w:val="18"/>
    </w:rPr>
  </w:style>
  <w:style w:type="character" w:customStyle="1" w:styleId="16">
    <w:name w:val="批注文字 Char"/>
    <w:basedOn w:val="8"/>
    <w:link w:val="2"/>
    <w:semiHidden/>
    <w:uiPriority w:val="99"/>
    <w:rPr>
      <w:rFonts w:ascii="Times New Roman" w:hAnsi="Times New Roman" w:eastAsia="宋体" w:cs="Times New Roman"/>
      <w:szCs w:val="24"/>
    </w:rPr>
  </w:style>
  <w:style w:type="character" w:customStyle="1" w:styleId="17">
    <w:name w:val="批注主题 Char"/>
    <w:basedOn w:val="16"/>
    <w:link w:val="6"/>
    <w:semiHidden/>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331</Words>
  <Characters>1889</Characters>
  <Lines>15</Lines>
  <Paragraphs>4</Paragraphs>
  <TotalTime>6</TotalTime>
  <ScaleCrop>false</ScaleCrop>
  <LinksUpToDate>false</LinksUpToDate>
  <CharactersWithSpaces>2216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2019-03-22T07:25:00Z</dcterms:created>
  <dc:creator>GPF</dc:creator>
  <cp:lastModifiedBy>白開水</cp:lastModifiedBy>
  <cp:lastPrinted>2019-01-11T09:53:00Z</cp:lastPrinted>
  <dcterms:modified xsi:type="dcterms:W3CDTF">2019-05-10T03:56:52Z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1509346739</vt:lpwstr>
  </property>
  <property fmtid="{D5CDD505-2E9C-101B-9397-08002B2CF9AE}" pid="6" name="KSOProductBuildVer">
    <vt:lpwstr>2052-11.1.0.8612</vt:lpwstr>
  </property>
</Properties>
</file>